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DD7" w:rsidRDefault="00103CD1" w:rsidP="00667DD7">
      <w:pPr>
        <w:jc w:val="center"/>
        <w:rPr>
          <w:b/>
          <w:sz w:val="28"/>
          <w:szCs w:val="28"/>
        </w:rPr>
      </w:pPr>
      <w:r>
        <w:rPr>
          <w:b/>
          <w:sz w:val="28"/>
          <w:szCs w:val="28"/>
        </w:rPr>
        <w:t>Spring 2021</w:t>
      </w:r>
      <w:r w:rsidR="00667DD7">
        <w:rPr>
          <w:b/>
          <w:sz w:val="28"/>
          <w:szCs w:val="28"/>
        </w:rPr>
        <w:br/>
        <w:t>ACC 404</w:t>
      </w:r>
      <w:r w:rsidR="00667DD7" w:rsidRPr="00CA5019">
        <w:rPr>
          <w:b/>
          <w:sz w:val="28"/>
          <w:szCs w:val="28"/>
        </w:rPr>
        <w:t xml:space="preserve"> – </w:t>
      </w:r>
      <w:r w:rsidR="00667DD7">
        <w:rPr>
          <w:b/>
          <w:sz w:val="28"/>
          <w:szCs w:val="28"/>
        </w:rPr>
        <w:t>International Accounting</w:t>
      </w:r>
    </w:p>
    <w:p w:rsidR="00667DD7" w:rsidRDefault="00667DD7" w:rsidP="00667DD7">
      <w:pPr>
        <w:jc w:val="center"/>
        <w:rPr>
          <w:b/>
          <w:sz w:val="28"/>
          <w:szCs w:val="28"/>
        </w:rPr>
      </w:pPr>
    </w:p>
    <w:p w:rsidR="00667DD7" w:rsidRPr="005D3240" w:rsidRDefault="00667DD7" w:rsidP="00667DD7">
      <w:pPr>
        <w:tabs>
          <w:tab w:val="left" w:pos="1260"/>
        </w:tabs>
        <w:suppressAutoHyphens/>
        <w:ind w:left="810"/>
        <w:jc w:val="both"/>
        <w:rPr>
          <w:spacing w:val="-3"/>
          <w:lang w:val="nl-NL"/>
        </w:rPr>
      </w:pPr>
      <w:r w:rsidRPr="005D3240">
        <w:rPr>
          <w:b/>
          <w:bCs/>
          <w:spacing w:val="-3"/>
          <w:lang w:val="nl-NL"/>
        </w:rPr>
        <w:t>Instructor</w:t>
      </w:r>
      <w:r>
        <w:rPr>
          <w:spacing w:val="-3"/>
          <w:lang w:val="nl-NL"/>
        </w:rPr>
        <w:tab/>
        <w:t>: Ali Çoşkun</w:t>
      </w:r>
      <w:r w:rsidRPr="005D3240">
        <w:rPr>
          <w:spacing w:val="-3"/>
          <w:lang w:val="nl-NL"/>
        </w:rPr>
        <w:tab/>
      </w:r>
      <w:r w:rsidRPr="005D3240">
        <w:rPr>
          <w:spacing w:val="-3"/>
          <w:lang w:val="nl-NL"/>
        </w:rPr>
        <w:tab/>
      </w:r>
      <w:r w:rsidRPr="005D3240">
        <w:rPr>
          <w:spacing w:val="-3"/>
          <w:lang w:val="nl-NL"/>
        </w:rPr>
        <w:tab/>
      </w:r>
      <w:r w:rsidRPr="005D3240">
        <w:rPr>
          <w:spacing w:val="-3"/>
          <w:lang w:val="nl-NL"/>
        </w:rPr>
        <w:tab/>
      </w:r>
      <w:r w:rsidRPr="005D3240">
        <w:rPr>
          <w:spacing w:val="-3"/>
          <w:lang w:val="nl-NL"/>
        </w:rPr>
        <w:tab/>
      </w:r>
    </w:p>
    <w:p w:rsidR="00667DD7" w:rsidRPr="005D3240" w:rsidRDefault="00667DD7" w:rsidP="00667DD7">
      <w:pPr>
        <w:tabs>
          <w:tab w:val="left" w:pos="0"/>
        </w:tabs>
        <w:suppressAutoHyphens/>
        <w:ind w:left="810"/>
        <w:jc w:val="both"/>
        <w:rPr>
          <w:spacing w:val="-3"/>
          <w:lang w:val="nl-NL"/>
        </w:rPr>
      </w:pPr>
      <w:r w:rsidRPr="005D3240">
        <w:rPr>
          <w:spacing w:val="-3"/>
          <w:lang w:val="nl-NL"/>
        </w:rPr>
        <w:tab/>
      </w:r>
      <w:r w:rsidRPr="005D3240">
        <w:rPr>
          <w:spacing w:val="-3"/>
          <w:lang w:val="nl-NL"/>
        </w:rPr>
        <w:tab/>
      </w:r>
      <w:r w:rsidRPr="005D3240">
        <w:rPr>
          <w:spacing w:val="-3"/>
          <w:lang w:val="nl-NL"/>
        </w:rPr>
        <w:tab/>
      </w:r>
    </w:p>
    <w:p w:rsidR="00667DD7" w:rsidRPr="005D3240" w:rsidRDefault="00667DD7" w:rsidP="00667DD7">
      <w:pPr>
        <w:tabs>
          <w:tab w:val="left" w:pos="0"/>
        </w:tabs>
        <w:suppressAutoHyphens/>
        <w:ind w:left="810"/>
        <w:jc w:val="both"/>
        <w:rPr>
          <w:color w:val="0000FF"/>
          <w:spacing w:val="-3"/>
          <w:u w:val="single"/>
          <w:lang w:val="nl-NL"/>
        </w:rPr>
      </w:pPr>
      <w:r w:rsidRPr="005D3240">
        <w:rPr>
          <w:b/>
          <w:bCs/>
          <w:spacing w:val="-3"/>
          <w:lang w:val="nl-NL"/>
        </w:rPr>
        <w:t>E-mail</w:t>
      </w:r>
      <w:r w:rsidRPr="005D3240">
        <w:rPr>
          <w:bCs/>
          <w:spacing w:val="-3"/>
          <w:lang w:val="nl-NL"/>
        </w:rPr>
        <w:tab/>
      </w:r>
      <w:r w:rsidRPr="005D3240">
        <w:rPr>
          <w:spacing w:val="-3"/>
          <w:lang w:val="nl-NL"/>
        </w:rPr>
        <w:t>:</w:t>
      </w:r>
      <w:r>
        <w:rPr>
          <w:color w:val="0000FF"/>
          <w:spacing w:val="-3"/>
          <w:u w:val="single"/>
          <w:lang w:val="nl-NL"/>
        </w:rPr>
        <w:t xml:space="preserve"> ali.coskun@boun.edu.tr</w:t>
      </w:r>
      <w:r w:rsidRPr="005D3240">
        <w:rPr>
          <w:color w:val="0000FF"/>
          <w:spacing w:val="-3"/>
          <w:u w:val="single"/>
          <w:lang w:val="nl-NL"/>
        </w:rPr>
        <w:t xml:space="preserve"> </w:t>
      </w:r>
    </w:p>
    <w:p w:rsidR="00667DD7" w:rsidRDefault="00667DD7" w:rsidP="00667DD7">
      <w:pPr>
        <w:tabs>
          <w:tab w:val="left" w:pos="1560"/>
        </w:tabs>
        <w:ind w:left="810"/>
        <w:rPr>
          <w:bCs/>
          <w:color w:val="000000"/>
          <w:spacing w:val="-3"/>
        </w:rPr>
      </w:pPr>
      <w:r w:rsidRPr="005D3240">
        <w:rPr>
          <w:b/>
          <w:bCs/>
          <w:color w:val="000000"/>
          <w:spacing w:val="-3"/>
        </w:rPr>
        <w:t xml:space="preserve">Office </w:t>
      </w:r>
      <w:proofErr w:type="gramStart"/>
      <w:r w:rsidRPr="005D3240">
        <w:rPr>
          <w:b/>
          <w:bCs/>
          <w:color w:val="000000"/>
          <w:spacing w:val="-3"/>
        </w:rPr>
        <w:t>hours</w:t>
      </w:r>
      <w:r w:rsidRPr="005D3240">
        <w:rPr>
          <w:bCs/>
          <w:color w:val="000000"/>
          <w:spacing w:val="-3"/>
        </w:rPr>
        <w:t xml:space="preserve">  :</w:t>
      </w:r>
      <w:proofErr w:type="gramEnd"/>
      <w:r>
        <w:rPr>
          <w:bCs/>
          <w:color w:val="000000"/>
          <w:spacing w:val="-3"/>
        </w:rPr>
        <w:t xml:space="preserve"> by appointment</w:t>
      </w:r>
    </w:p>
    <w:p w:rsidR="00667DD7" w:rsidRDefault="00667DD7" w:rsidP="00667DD7">
      <w:pPr>
        <w:tabs>
          <w:tab w:val="left" w:pos="1560"/>
        </w:tabs>
        <w:ind w:left="810"/>
        <w:rPr>
          <w:bCs/>
          <w:color w:val="000000"/>
          <w:spacing w:val="-3"/>
        </w:rPr>
      </w:pPr>
    </w:p>
    <w:p w:rsidR="00667DD7" w:rsidRDefault="00667DD7" w:rsidP="00667DD7">
      <w:pPr>
        <w:tabs>
          <w:tab w:val="left" w:pos="1560"/>
        </w:tabs>
        <w:ind w:left="810"/>
        <w:rPr>
          <w:b/>
        </w:rPr>
      </w:pPr>
      <w:r w:rsidRPr="00F963B4">
        <w:rPr>
          <w:b/>
          <w:bCs/>
          <w:color w:val="000000"/>
          <w:spacing w:val="-3"/>
        </w:rPr>
        <w:t>Co</w:t>
      </w:r>
      <w:r w:rsidRPr="004A58DE">
        <w:rPr>
          <w:b/>
        </w:rPr>
        <w:t>urse Objective:</w:t>
      </w:r>
    </w:p>
    <w:p w:rsidR="00667DD7" w:rsidRPr="00DA79F3" w:rsidRDefault="00667DD7" w:rsidP="00667DD7">
      <w:pPr>
        <w:ind w:left="720"/>
        <w:jc w:val="both"/>
      </w:pPr>
      <w:r>
        <w:t>The objective of this course is to make students understand the international dimensions of accounting and financial reporting. Through readings, research, problem solving, case analysis, and class discussions students should be able to develop analytical and practical skills to effectively deal with international financial reporting issues and problems.</w:t>
      </w:r>
    </w:p>
    <w:p w:rsidR="00667DD7" w:rsidRPr="001E5E42" w:rsidRDefault="00667DD7" w:rsidP="00667DD7">
      <w:pPr>
        <w:tabs>
          <w:tab w:val="left" w:pos="0"/>
        </w:tabs>
        <w:suppressAutoHyphens/>
        <w:ind w:left="708"/>
        <w:jc w:val="both"/>
      </w:pPr>
    </w:p>
    <w:p w:rsidR="00667DD7" w:rsidRDefault="00667DD7" w:rsidP="00667DD7">
      <w:pPr>
        <w:tabs>
          <w:tab w:val="left" w:pos="0"/>
        </w:tabs>
        <w:suppressAutoHyphens/>
        <w:ind w:firstLine="720"/>
        <w:jc w:val="both"/>
        <w:rPr>
          <w:spacing w:val="-3"/>
        </w:rPr>
      </w:pPr>
      <w:r>
        <w:rPr>
          <w:b/>
          <w:spacing w:val="-3"/>
        </w:rPr>
        <w:t xml:space="preserve"> </w:t>
      </w:r>
      <w:r w:rsidRPr="001E5E42">
        <w:rPr>
          <w:b/>
          <w:spacing w:val="-3"/>
        </w:rPr>
        <w:t>Course Description and Contents</w:t>
      </w:r>
      <w:r w:rsidRPr="001E5E42">
        <w:rPr>
          <w:spacing w:val="-3"/>
        </w:rPr>
        <w:t xml:space="preserve">:  </w:t>
      </w:r>
    </w:p>
    <w:p w:rsidR="00667DD7" w:rsidRDefault="00667DD7" w:rsidP="00667DD7">
      <w:pPr>
        <w:ind w:left="720"/>
        <w:jc w:val="both"/>
      </w:pPr>
      <w:r>
        <w:t xml:space="preserve">This course builds on knowledge gathered in other accounting courses and will </w:t>
      </w:r>
      <w:r w:rsidRPr="00F55E38">
        <w:t xml:space="preserve">give an overview of the main topics in international accounting and to introduce to the international dimensions of financial statement analysis. The course offers an overview to the main differences in financial measurement and reporting practices that exist internationally under specific regulatory requirements, and the reasons for these differences. </w:t>
      </w:r>
    </w:p>
    <w:p w:rsidR="00667DD7" w:rsidRDefault="00667DD7" w:rsidP="00667DD7">
      <w:pPr>
        <w:ind w:left="720"/>
        <w:jc w:val="both"/>
      </w:pPr>
    </w:p>
    <w:p w:rsidR="00667DD7" w:rsidRPr="001E5E42" w:rsidRDefault="00667DD7" w:rsidP="00667DD7">
      <w:pPr>
        <w:ind w:left="720"/>
        <w:rPr>
          <w:b/>
        </w:rPr>
      </w:pPr>
      <w:r>
        <w:rPr>
          <w:b/>
        </w:rPr>
        <w:t xml:space="preserve"> </w:t>
      </w:r>
      <w:r w:rsidRPr="001E5E42">
        <w:rPr>
          <w:b/>
        </w:rPr>
        <w:t>Learning Outcomes:</w:t>
      </w:r>
    </w:p>
    <w:p w:rsidR="00667DD7" w:rsidRDefault="00667DD7" w:rsidP="00667DD7">
      <w:pPr>
        <w:ind w:left="720"/>
        <w:jc w:val="both"/>
      </w:pPr>
      <w:r>
        <w:t>This course will provide an efficient understanding of how to:</w:t>
      </w:r>
    </w:p>
    <w:p w:rsidR="00667DD7" w:rsidRDefault="00667DD7" w:rsidP="00667DD7">
      <w:pPr>
        <w:ind w:left="720"/>
        <w:jc w:val="both"/>
      </w:pPr>
    </w:p>
    <w:p w:rsidR="00667DD7" w:rsidRPr="00F55E38" w:rsidRDefault="00667DD7" w:rsidP="00667DD7">
      <w:pPr>
        <w:numPr>
          <w:ilvl w:val="0"/>
          <w:numId w:val="6"/>
        </w:numPr>
        <w:ind w:left="1080"/>
        <w:jc w:val="both"/>
      </w:pPr>
      <w:r w:rsidRPr="00F55E38">
        <w:t>Outline the scale of international differences in financial reporting.</w:t>
      </w:r>
    </w:p>
    <w:p w:rsidR="00667DD7" w:rsidRPr="00F55E38" w:rsidRDefault="00667DD7" w:rsidP="00667DD7">
      <w:pPr>
        <w:numPr>
          <w:ilvl w:val="0"/>
          <w:numId w:val="6"/>
        </w:numPr>
        <w:ind w:left="1080"/>
        <w:jc w:val="both"/>
      </w:pPr>
      <w:r w:rsidRPr="00F55E38">
        <w:t>Give examples of the differences, and why they are important.</w:t>
      </w:r>
    </w:p>
    <w:p w:rsidR="00667DD7" w:rsidRPr="00F55E38" w:rsidRDefault="00667DD7" w:rsidP="00667DD7">
      <w:pPr>
        <w:numPr>
          <w:ilvl w:val="0"/>
          <w:numId w:val="6"/>
        </w:numPr>
        <w:ind w:left="1080"/>
        <w:jc w:val="both"/>
      </w:pPr>
      <w:r w:rsidRPr="00F55E38">
        <w:t>Summari</w:t>
      </w:r>
      <w:r>
        <w:t>z</w:t>
      </w:r>
      <w:r w:rsidRPr="00F55E38">
        <w:t>e the likely causes of the differences.</w:t>
      </w:r>
    </w:p>
    <w:p w:rsidR="00667DD7" w:rsidRPr="00F55E38" w:rsidRDefault="00667DD7" w:rsidP="00667DD7">
      <w:pPr>
        <w:numPr>
          <w:ilvl w:val="0"/>
          <w:numId w:val="6"/>
        </w:numPr>
        <w:ind w:left="1080"/>
        <w:jc w:val="both"/>
      </w:pPr>
      <w:r w:rsidRPr="00F55E38">
        <w:t>Explain how countries can be put into groups by similarities of accounting practices.</w:t>
      </w:r>
    </w:p>
    <w:p w:rsidR="00667DD7" w:rsidRPr="00F55E38" w:rsidRDefault="00667DD7" w:rsidP="00667DD7">
      <w:pPr>
        <w:numPr>
          <w:ilvl w:val="0"/>
          <w:numId w:val="6"/>
        </w:numPr>
        <w:ind w:left="1080"/>
        <w:jc w:val="both"/>
      </w:pPr>
      <w:r w:rsidRPr="00F55E38">
        <w:t>Outline the main p</w:t>
      </w:r>
      <w:r>
        <w:t>layers in international harmoniz</w:t>
      </w:r>
      <w:r w:rsidRPr="00F55E38">
        <w:t>ation of accounting, and how successful they have been.</w:t>
      </w:r>
    </w:p>
    <w:p w:rsidR="00667DD7" w:rsidRPr="00F55E38" w:rsidRDefault="00667DD7" w:rsidP="00667DD7">
      <w:pPr>
        <w:numPr>
          <w:ilvl w:val="0"/>
          <w:numId w:val="6"/>
        </w:numPr>
        <w:ind w:left="1080"/>
        <w:jc w:val="both"/>
      </w:pPr>
      <w:r w:rsidRPr="00F55E38">
        <w:t>Give examples of some IFRS accounting standards and their main instructions.</w:t>
      </w:r>
    </w:p>
    <w:p w:rsidR="00667DD7" w:rsidRPr="00F55E38" w:rsidRDefault="00667DD7" w:rsidP="00667DD7">
      <w:pPr>
        <w:numPr>
          <w:ilvl w:val="0"/>
          <w:numId w:val="6"/>
        </w:numPr>
        <w:ind w:left="1080"/>
        <w:jc w:val="both"/>
      </w:pPr>
      <w:r w:rsidRPr="00F55E38">
        <w:t>Explain how IFRS options are chosen systematically differently in different countries.</w:t>
      </w:r>
    </w:p>
    <w:p w:rsidR="00667DD7" w:rsidRPr="00F55E38" w:rsidRDefault="00667DD7" w:rsidP="00667DD7">
      <w:pPr>
        <w:numPr>
          <w:ilvl w:val="0"/>
          <w:numId w:val="6"/>
        </w:numPr>
        <w:ind w:left="1080"/>
        <w:jc w:val="both"/>
      </w:pPr>
      <w:r w:rsidRPr="00F55E38">
        <w:t>Outline the high-level differences between US GAAP and IFRS, giving examples of some detailed differences.</w:t>
      </w:r>
    </w:p>
    <w:p w:rsidR="00667DD7" w:rsidRDefault="00667DD7" w:rsidP="00667DD7">
      <w:pPr>
        <w:ind w:left="720"/>
        <w:jc w:val="both"/>
        <w:rPr>
          <w:sz w:val="20"/>
          <w:szCs w:val="20"/>
        </w:rPr>
      </w:pPr>
    </w:p>
    <w:p w:rsidR="00667DD7" w:rsidRDefault="00667DD7" w:rsidP="00667DD7">
      <w:pPr>
        <w:tabs>
          <w:tab w:val="left" w:pos="0"/>
        </w:tabs>
        <w:suppressAutoHyphens/>
        <w:ind w:left="720" w:hanging="360"/>
        <w:rPr>
          <w:b/>
          <w:spacing w:val="-3"/>
        </w:rPr>
      </w:pPr>
      <w:r>
        <w:rPr>
          <w:b/>
          <w:spacing w:val="-3"/>
        </w:rPr>
        <w:tab/>
      </w:r>
    </w:p>
    <w:p w:rsidR="00103CD1" w:rsidRDefault="00667DD7" w:rsidP="00667DD7">
      <w:pPr>
        <w:tabs>
          <w:tab w:val="left" w:pos="0"/>
        </w:tabs>
        <w:suppressAutoHyphens/>
        <w:ind w:left="720" w:hanging="360"/>
        <w:rPr>
          <w:b/>
          <w:spacing w:val="-3"/>
        </w:rPr>
      </w:pPr>
      <w:r>
        <w:rPr>
          <w:b/>
          <w:spacing w:val="-3"/>
        </w:rPr>
        <w:tab/>
      </w:r>
    </w:p>
    <w:p w:rsidR="00103CD1" w:rsidRDefault="00103CD1" w:rsidP="00667DD7">
      <w:pPr>
        <w:tabs>
          <w:tab w:val="left" w:pos="0"/>
        </w:tabs>
        <w:suppressAutoHyphens/>
        <w:ind w:left="720" w:hanging="360"/>
        <w:rPr>
          <w:b/>
          <w:spacing w:val="-3"/>
        </w:rPr>
      </w:pPr>
    </w:p>
    <w:p w:rsidR="00103CD1" w:rsidRDefault="00103CD1" w:rsidP="00667DD7">
      <w:pPr>
        <w:tabs>
          <w:tab w:val="left" w:pos="0"/>
        </w:tabs>
        <w:suppressAutoHyphens/>
        <w:ind w:left="720" w:hanging="360"/>
        <w:rPr>
          <w:b/>
          <w:spacing w:val="-3"/>
        </w:rPr>
      </w:pPr>
    </w:p>
    <w:p w:rsidR="00667DD7" w:rsidRPr="001E5E42" w:rsidRDefault="00103CD1" w:rsidP="00103CD1">
      <w:pPr>
        <w:tabs>
          <w:tab w:val="left" w:pos="0"/>
        </w:tabs>
        <w:suppressAutoHyphens/>
        <w:rPr>
          <w:b/>
          <w:spacing w:val="-3"/>
        </w:rPr>
      </w:pPr>
      <w:r>
        <w:rPr>
          <w:b/>
          <w:spacing w:val="-3"/>
        </w:rPr>
        <w:lastRenderedPageBreak/>
        <w:tab/>
      </w:r>
      <w:r w:rsidR="00667DD7" w:rsidRPr="001E5E42">
        <w:rPr>
          <w:b/>
          <w:spacing w:val="-3"/>
        </w:rPr>
        <w:t>Course Material:</w:t>
      </w:r>
    </w:p>
    <w:p w:rsidR="00667DD7" w:rsidRPr="00DA79F3" w:rsidRDefault="00667DD7" w:rsidP="00103CD1">
      <w:pPr>
        <w:tabs>
          <w:tab w:val="left" w:pos="0"/>
        </w:tabs>
        <w:suppressAutoHyphens/>
        <w:spacing w:after="72"/>
        <w:jc w:val="both"/>
        <w:rPr>
          <w:spacing w:val="-3"/>
        </w:rPr>
      </w:pPr>
      <w:r>
        <w:rPr>
          <w:b/>
          <w:i/>
          <w:spacing w:val="-3"/>
        </w:rPr>
        <w:tab/>
      </w:r>
      <w:r w:rsidRPr="00153515">
        <w:rPr>
          <w:b/>
          <w:i/>
          <w:spacing w:val="-3"/>
        </w:rPr>
        <w:t>Textbook:</w:t>
      </w:r>
      <w:r>
        <w:rPr>
          <w:b/>
          <w:i/>
          <w:spacing w:val="-3"/>
        </w:rPr>
        <w:t xml:space="preserve"> </w:t>
      </w:r>
      <w:r w:rsidR="00103CD1">
        <w:rPr>
          <w:i/>
          <w:spacing w:val="-3"/>
        </w:rPr>
        <w:t>To be Discussed in Class</w:t>
      </w:r>
    </w:p>
    <w:p w:rsidR="00667DD7" w:rsidRDefault="00667DD7" w:rsidP="00667DD7">
      <w:pPr>
        <w:tabs>
          <w:tab w:val="left" w:pos="0"/>
        </w:tabs>
        <w:suppressAutoHyphens/>
        <w:ind w:left="720"/>
        <w:rPr>
          <w:spacing w:val="-3"/>
        </w:rPr>
      </w:pPr>
    </w:p>
    <w:p w:rsidR="00667DD7" w:rsidRPr="007E02FB" w:rsidRDefault="00667DD7" w:rsidP="00667DD7">
      <w:pPr>
        <w:tabs>
          <w:tab w:val="left" w:pos="0"/>
        </w:tabs>
        <w:suppressAutoHyphens/>
        <w:ind w:left="720" w:hanging="720"/>
        <w:jc w:val="both"/>
        <w:rPr>
          <w:spacing w:val="-3"/>
        </w:rPr>
      </w:pPr>
      <w:r w:rsidRPr="001E5E42">
        <w:rPr>
          <w:spacing w:val="-3"/>
        </w:rPr>
        <w:tab/>
      </w:r>
      <w:r w:rsidRPr="00103CD1">
        <w:rPr>
          <w:b/>
          <w:spacing w:val="-3"/>
        </w:rPr>
        <w:t>Course Web:</w:t>
      </w:r>
      <w:r w:rsidRPr="001E5E42">
        <w:rPr>
          <w:b/>
          <w:bCs/>
          <w:i/>
          <w:iCs/>
          <w:spacing w:val="-3"/>
        </w:rPr>
        <w:t xml:space="preserve"> </w:t>
      </w:r>
      <w:r w:rsidR="00103CD1">
        <w:rPr>
          <w:b/>
          <w:bCs/>
          <w:i/>
          <w:iCs/>
          <w:spacing w:val="-3"/>
        </w:rPr>
        <w:t>Online sources</w:t>
      </w:r>
      <w:r>
        <w:rPr>
          <w:b/>
          <w:bCs/>
          <w:i/>
          <w:iCs/>
          <w:spacing w:val="-3"/>
        </w:rPr>
        <w:t xml:space="preserve"> </w:t>
      </w:r>
      <w:r w:rsidRPr="001E5E42">
        <w:rPr>
          <w:bCs/>
          <w:iCs/>
          <w:spacing w:val="-3"/>
        </w:rPr>
        <w:t>will be used heavily and contains t</w:t>
      </w:r>
      <w:r w:rsidRPr="001E5E42">
        <w:rPr>
          <w:spacing w:val="-3"/>
        </w:rPr>
        <w:t xml:space="preserve">he course syllabus, assignments, class announcements, summary lecture notes (handouts) and any other resources uploaded by the instructors or course assistants. </w:t>
      </w:r>
      <w:hyperlink r:id="rId8" w:history="1">
        <w:r w:rsidRPr="007E02FB">
          <w:rPr>
            <w:rStyle w:val="Hyperlink"/>
            <w:color w:val="000000" w:themeColor="text1"/>
            <w:spacing w:val="-3"/>
          </w:rPr>
          <w:t>https://sucourse.sabanciuniv.edu/port</w:t>
        </w:r>
      </w:hyperlink>
      <w:r>
        <w:rPr>
          <w:rStyle w:val="Hyperlink"/>
          <w:spacing w:val="-3"/>
        </w:rPr>
        <w:t xml:space="preserve"> </w:t>
      </w:r>
      <w:r>
        <w:rPr>
          <w:rStyle w:val="Hyperlink"/>
          <w:color w:val="auto"/>
          <w:spacing w:val="-3"/>
          <w:u w:val="none"/>
        </w:rPr>
        <w:t xml:space="preserve">and </w:t>
      </w:r>
      <w:r w:rsidRPr="007E02FB">
        <w:rPr>
          <w:rStyle w:val="Hyperlink"/>
          <w:color w:val="000000" w:themeColor="text1"/>
          <w:spacing w:val="-3"/>
        </w:rPr>
        <w:t>www.pearson.com/mylab</w:t>
      </w:r>
    </w:p>
    <w:p w:rsidR="00667DD7" w:rsidRPr="001E5E42" w:rsidRDefault="00667DD7" w:rsidP="00667DD7">
      <w:pPr>
        <w:tabs>
          <w:tab w:val="left" w:pos="0"/>
        </w:tabs>
        <w:suppressAutoHyphens/>
        <w:ind w:left="720"/>
        <w:rPr>
          <w:spacing w:val="-3"/>
          <w:u w:val="single"/>
        </w:rPr>
      </w:pPr>
    </w:p>
    <w:p w:rsidR="00667DD7" w:rsidRPr="001E5E42" w:rsidRDefault="00667DD7" w:rsidP="00667DD7">
      <w:pPr>
        <w:ind w:left="720"/>
        <w:rPr>
          <w:b/>
        </w:rPr>
      </w:pPr>
      <w:r w:rsidRPr="001E5E42">
        <w:rPr>
          <w:b/>
        </w:rPr>
        <w:t>Instructional Design:</w:t>
      </w:r>
    </w:p>
    <w:p w:rsidR="00667DD7" w:rsidRPr="00AA361B" w:rsidRDefault="00667DD7" w:rsidP="00667DD7">
      <w:pPr>
        <w:ind w:left="713" w:right="57"/>
        <w:rPr>
          <w:spacing w:val="-3"/>
        </w:rPr>
      </w:pPr>
      <w:r w:rsidRPr="00AA361B">
        <w:rPr>
          <w:spacing w:val="-3"/>
        </w:rPr>
        <w:t xml:space="preserve">Every week starts with a new material. The students are expected to listen to the lecture, and after the lecture, follow the reading assignments. The students’ participations in the in-class discussions determine part of their grades, in addition to </w:t>
      </w:r>
      <w:r>
        <w:rPr>
          <w:spacing w:val="-3"/>
        </w:rPr>
        <w:t xml:space="preserve">presentations, </w:t>
      </w:r>
      <w:r w:rsidRPr="00AA361B">
        <w:rPr>
          <w:spacing w:val="-3"/>
        </w:rPr>
        <w:t>assignments, and examinations.</w:t>
      </w:r>
    </w:p>
    <w:p w:rsidR="00667DD7" w:rsidRDefault="00667DD7" w:rsidP="00667DD7">
      <w:pPr>
        <w:tabs>
          <w:tab w:val="left" w:pos="0"/>
        </w:tabs>
        <w:suppressAutoHyphens/>
        <w:rPr>
          <w:b/>
          <w:spacing w:val="-3"/>
        </w:rPr>
      </w:pPr>
    </w:p>
    <w:p w:rsidR="00667DD7" w:rsidRPr="00AA361B" w:rsidRDefault="00667DD7" w:rsidP="00667DD7">
      <w:pPr>
        <w:ind w:left="713" w:right="57"/>
        <w:rPr>
          <w:spacing w:val="-3"/>
        </w:rPr>
      </w:pPr>
      <w:r>
        <w:rPr>
          <w:b/>
          <w:spacing w:val="-3"/>
        </w:rPr>
        <w:tab/>
      </w:r>
      <w:r w:rsidRPr="00AA361B">
        <w:rPr>
          <w:spacing w:val="-3"/>
        </w:rPr>
        <w:t xml:space="preserve">The instructor </w:t>
      </w:r>
      <w:proofErr w:type="gramStart"/>
      <w:r w:rsidRPr="00AA361B">
        <w:rPr>
          <w:spacing w:val="-3"/>
        </w:rPr>
        <w:t>reserve</w:t>
      </w:r>
      <w:proofErr w:type="gramEnd"/>
      <w:r w:rsidRPr="00AA361B">
        <w:rPr>
          <w:spacing w:val="-3"/>
        </w:rPr>
        <w:t xml:space="preserve"> the right to change this syllabus’s content, grading scheme, and exam dates. Any possible change will be announced at the class ahead of the time of the change.  </w:t>
      </w:r>
    </w:p>
    <w:p w:rsidR="00667DD7" w:rsidRPr="001E5E42" w:rsidRDefault="00667DD7" w:rsidP="00667DD7">
      <w:pPr>
        <w:tabs>
          <w:tab w:val="left" w:pos="0"/>
        </w:tabs>
        <w:suppressAutoHyphens/>
        <w:rPr>
          <w:spacing w:val="-3"/>
        </w:rPr>
      </w:pPr>
    </w:p>
    <w:p w:rsidR="00667DD7" w:rsidRPr="001E5E42" w:rsidRDefault="00667DD7" w:rsidP="00667DD7">
      <w:pPr>
        <w:tabs>
          <w:tab w:val="left" w:pos="720"/>
        </w:tabs>
        <w:suppressAutoHyphens/>
        <w:ind w:left="720"/>
        <w:rPr>
          <w:spacing w:val="-3"/>
        </w:rPr>
      </w:pPr>
      <w:r w:rsidRPr="001E5E42">
        <w:rPr>
          <w:b/>
          <w:spacing w:val="-3"/>
        </w:rPr>
        <w:t>Grading:</w:t>
      </w:r>
      <w:r w:rsidRPr="001E5E42">
        <w:rPr>
          <w:spacing w:val="-3"/>
        </w:rPr>
        <w:t xml:space="preserve">  Percentages allocated to each type of assessment are: </w:t>
      </w:r>
    </w:p>
    <w:p w:rsidR="00667DD7" w:rsidRDefault="00667DD7" w:rsidP="00667DD7">
      <w:pPr>
        <w:ind w:right="-477"/>
      </w:pPr>
      <w:r w:rsidRPr="001E5E42">
        <w:rPr>
          <w:b/>
          <w:i/>
          <w:spacing w:val="-3"/>
        </w:rPr>
        <w:tab/>
      </w:r>
      <w:r>
        <w:t>30</w:t>
      </w:r>
      <w:proofErr w:type="gramStart"/>
      <w:r>
        <w:t xml:space="preserve">%  </w:t>
      </w:r>
      <w:proofErr w:type="spellStart"/>
      <w:r>
        <w:t>Homeworks</w:t>
      </w:r>
      <w:proofErr w:type="spellEnd"/>
      <w:proofErr w:type="gramEnd"/>
      <w:r>
        <w:t>,</w:t>
      </w:r>
      <w:r w:rsidR="00103CD1">
        <w:t xml:space="preserve"> and</w:t>
      </w:r>
      <w:r>
        <w:t xml:space="preserve"> Quizzes, etc.</w:t>
      </w:r>
    </w:p>
    <w:p w:rsidR="00667DD7" w:rsidRDefault="00667DD7" w:rsidP="00667DD7">
      <w:pPr>
        <w:ind w:right="-477"/>
        <w:rPr>
          <w:sz w:val="20"/>
          <w:szCs w:val="20"/>
        </w:rPr>
      </w:pPr>
      <w:r>
        <w:rPr>
          <w:sz w:val="20"/>
          <w:szCs w:val="20"/>
        </w:rPr>
        <w:tab/>
      </w:r>
      <w:r>
        <w:t>30</w:t>
      </w:r>
      <w:proofErr w:type="gramStart"/>
      <w:r>
        <w:t>%  Presentations</w:t>
      </w:r>
      <w:proofErr w:type="gramEnd"/>
    </w:p>
    <w:p w:rsidR="00667DD7" w:rsidRPr="001E5E42" w:rsidRDefault="00667DD7" w:rsidP="00667DD7">
      <w:pPr>
        <w:ind w:right="-477" w:firstLine="720"/>
        <w:rPr>
          <w:b/>
          <w:u w:val="single"/>
        </w:rPr>
      </w:pPr>
      <w:r>
        <w:t>40 % Final Exam</w:t>
      </w:r>
      <w:r w:rsidRPr="001E5E42">
        <w:rPr>
          <w:b/>
          <w:spacing w:val="-3"/>
        </w:rPr>
        <w:tab/>
      </w:r>
      <w:r w:rsidRPr="001E5E42">
        <w:rPr>
          <w:b/>
          <w:spacing w:val="-3"/>
        </w:rPr>
        <w:tab/>
      </w:r>
      <w:r w:rsidRPr="001E5E42">
        <w:rPr>
          <w:b/>
          <w:spacing w:val="-3"/>
        </w:rPr>
        <w:tab/>
        <w:t xml:space="preserve">  </w:t>
      </w:r>
    </w:p>
    <w:p w:rsidR="00667DD7" w:rsidRPr="001E5E42" w:rsidRDefault="00667DD7" w:rsidP="00667DD7">
      <w:pPr>
        <w:rPr>
          <w:u w:val="single"/>
        </w:rPr>
      </w:pPr>
    </w:p>
    <w:p w:rsidR="00667DD7" w:rsidRPr="001E5E42" w:rsidRDefault="00667DD7" w:rsidP="00667DD7">
      <w:pPr>
        <w:tabs>
          <w:tab w:val="left" w:pos="720"/>
        </w:tabs>
        <w:suppressAutoHyphens/>
        <w:ind w:left="720"/>
        <w:rPr>
          <w:i/>
          <w:spacing w:val="-3"/>
        </w:rPr>
      </w:pPr>
      <w:r w:rsidRPr="001E5E42">
        <w:rPr>
          <w:b/>
          <w:i/>
        </w:rPr>
        <w:t>Requirements:</w:t>
      </w:r>
    </w:p>
    <w:p w:rsidR="00667DD7" w:rsidRPr="001E5E42" w:rsidRDefault="00667DD7" w:rsidP="00667DD7">
      <w:pPr>
        <w:tabs>
          <w:tab w:val="left" w:pos="720"/>
        </w:tabs>
        <w:suppressAutoHyphens/>
        <w:ind w:left="720"/>
        <w:rPr>
          <w:b/>
          <w:spacing w:val="-3"/>
          <w:u w:val="single"/>
        </w:rPr>
      </w:pPr>
      <w:r>
        <w:rPr>
          <w:b/>
          <w:i/>
          <w:spacing w:val="-3"/>
        </w:rPr>
        <w:t>All e</w:t>
      </w:r>
      <w:r w:rsidRPr="001E5E42">
        <w:rPr>
          <w:b/>
          <w:i/>
          <w:spacing w:val="-3"/>
        </w:rPr>
        <w:t>xams</w:t>
      </w:r>
      <w:r w:rsidRPr="001E5E42">
        <w:rPr>
          <w:spacing w:val="-3"/>
        </w:rPr>
        <w:t xml:space="preserve"> will cover the material contained in the textbook, assignments, lectures and class discussions</w:t>
      </w:r>
      <w:r>
        <w:rPr>
          <w:spacing w:val="-3"/>
        </w:rPr>
        <w:t xml:space="preserve">.  </w:t>
      </w:r>
      <w:r w:rsidRPr="001E5E42">
        <w:rPr>
          <w:spacing w:val="-3"/>
        </w:rPr>
        <w:t>There will be</w:t>
      </w:r>
      <w:r w:rsidRPr="001E5E42">
        <w:rPr>
          <w:b/>
          <w:i/>
          <w:spacing w:val="-3"/>
        </w:rPr>
        <w:t xml:space="preserve"> </w:t>
      </w:r>
      <w:r>
        <w:rPr>
          <w:b/>
          <w:i/>
          <w:spacing w:val="-3"/>
        </w:rPr>
        <w:t xml:space="preserve">one cumulative </w:t>
      </w:r>
      <w:r w:rsidRPr="001E5E42">
        <w:rPr>
          <w:b/>
          <w:i/>
          <w:spacing w:val="-3"/>
        </w:rPr>
        <w:t>make-up</w:t>
      </w:r>
      <w:r>
        <w:rPr>
          <w:b/>
          <w:i/>
          <w:spacing w:val="-3"/>
        </w:rPr>
        <w:t xml:space="preserve"> exam </w:t>
      </w:r>
      <w:r w:rsidRPr="001E5E42">
        <w:rPr>
          <w:b/>
          <w:i/>
          <w:spacing w:val="-3"/>
        </w:rPr>
        <w:t xml:space="preserve">given </w:t>
      </w:r>
      <w:r>
        <w:rPr>
          <w:b/>
          <w:i/>
          <w:spacing w:val="-3"/>
        </w:rPr>
        <w:t>at the end of the semester</w:t>
      </w:r>
      <w:r w:rsidRPr="001E5E42">
        <w:rPr>
          <w:spacing w:val="-3"/>
        </w:rPr>
        <w:t xml:space="preserve"> </w:t>
      </w:r>
      <w:r>
        <w:rPr>
          <w:spacing w:val="-3"/>
        </w:rPr>
        <w:t>o</w:t>
      </w:r>
      <w:r w:rsidRPr="001E5E42">
        <w:rPr>
          <w:spacing w:val="-3"/>
        </w:rPr>
        <w:t xml:space="preserve">nly </w:t>
      </w:r>
      <w:r>
        <w:rPr>
          <w:spacing w:val="-3"/>
        </w:rPr>
        <w:t xml:space="preserve">for </w:t>
      </w:r>
      <w:r w:rsidRPr="001E5E42">
        <w:rPr>
          <w:spacing w:val="-3"/>
        </w:rPr>
        <w:t>students</w:t>
      </w:r>
      <w:r>
        <w:rPr>
          <w:spacing w:val="-3"/>
        </w:rPr>
        <w:t xml:space="preserve"> that miss the final exam with </w:t>
      </w:r>
      <w:r w:rsidRPr="001E5E42">
        <w:rPr>
          <w:spacing w:val="-3"/>
        </w:rPr>
        <w:t xml:space="preserve">a valid </w:t>
      </w:r>
      <w:r>
        <w:rPr>
          <w:spacing w:val="-3"/>
        </w:rPr>
        <w:t xml:space="preserve">reason and proper documentation. </w:t>
      </w:r>
    </w:p>
    <w:p w:rsidR="00667DD7" w:rsidRPr="001E5E42" w:rsidRDefault="00667DD7" w:rsidP="00667DD7">
      <w:pPr>
        <w:tabs>
          <w:tab w:val="left" w:pos="720"/>
        </w:tabs>
        <w:suppressAutoHyphens/>
        <w:ind w:left="720" w:hanging="720"/>
        <w:rPr>
          <w:b/>
          <w:spacing w:val="-3"/>
          <w:u w:val="single"/>
        </w:rPr>
      </w:pPr>
    </w:p>
    <w:p w:rsidR="00667DD7" w:rsidRPr="001E5E42" w:rsidRDefault="00667DD7" w:rsidP="00667DD7">
      <w:pPr>
        <w:tabs>
          <w:tab w:val="left" w:pos="0"/>
        </w:tabs>
        <w:suppressAutoHyphens/>
        <w:ind w:left="720"/>
        <w:rPr>
          <w:bCs/>
          <w:spacing w:val="-3"/>
        </w:rPr>
      </w:pPr>
      <w:r w:rsidRPr="001E5E42">
        <w:rPr>
          <w:b/>
          <w:i/>
          <w:spacing w:val="-3"/>
        </w:rPr>
        <w:t>Class participation and attendance</w:t>
      </w:r>
      <w:r w:rsidRPr="001E5E42">
        <w:rPr>
          <w:spacing w:val="-3"/>
        </w:rPr>
        <w:t xml:space="preserve"> is very important at SU. It is especially relevant for this course as the content is very cumulative and class discussions and hands-on exercises will make it much easier for you to master the material. The students are encouraged and expected to participate in the classroom discussion by asking </w:t>
      </w:r>
      <w:r w:rsidRPr="001E5E42">
        <w:rPr>
          <w:i/>
          <w:spacing w:val="-3"/>
        </w:rPr>
        <w:t>relevant</w:t>
      </w:r>
      <w:r w:rsidRPr="001E5E42">
        <w:rPr>
          <w:spacing w:val="-3"/>
        </w:rPr>
        <w:t xml:space="preserve"> questions, answering the questions raised and bringing examples of current events they find in the financial media.</w:t>
      </w:r>
    </w:p>
    <w:p w:rsidR="00667DD7" w:rsidRPr="001E5E42" w:rsidRDefault="00667DD7" w:rsidP="00667DD7">
      <w:pPr>
        <w:tabs>
          <w:tab w:val="left" w:pos="0"/>
        </w:tabs>
        <w:suppressAutoHyphens/>
        <w:jc w:val="both"/>
        <w:rPr>
          <w:spacing w:val="-3"/>
        </w:rPr>
      </w:pPr>
    </w:p>
    <w:p w:rsidR="00103CD1" w:rsidRDefault="00103CD1">
      <w:pPr>
        <w:rPr>
          <w:b/>
        </w:rPr>
      </w:pPr>
      <w:r>
        <w:rPr>
          <w:b/>
        </w:rPr>
        <w:br w:type="page"/>
      </w:r>
    </w:p>
    <w:p w:rsidR="00667DD7" w:rsidRPr="001E5E42" w:rsidRDefault="00667DD7" w:rsidP="00667DD7">
      <w:pPr>
        <w:ind w:left="720"/>
        <w:rPr>
          <w:b/>
        </w:rPr>
      </w:pPr>
      <w:r w:rsidRPr="001E5E42">
        <w:rPr>
          <w:b/>
        </w:rPr>
        <w:lastRenderedPageBreak/>
        <w:t xml:space="preserve">Academic Honesty: </w:t>
      </w:r>
    </w:p>
    <w:p w:rsidR="00667DD7" w:rsidRPr="001E5E42" w:rsidRDefault="00667DD7" w:rsidP="00667DD7">
      <w:pPr>
        <w:ind w:left="720"/>
        <w:jc w:val="both"/>
      </w:pPr>
      <w:r w:rsidRPr="001E5E42">
        <w:t xml:space="preserve">Learning is enhanced through cooperation and as such you are encouraged to work in groups, ask for and give help freely in all appropriate settings. At the same time, as a matter of personal integrity, you should only represent your own work as yours. Any work that is submitted to be evaluated in this class should be an original piece of writing, presenting your ideas in your own words. Everything you borrow from books, articles, or web sites (including those in the syllabus) should be properly cited. Although you are encouraged to discuss your ideas with others (including your friends in the class), it is important that you do not share your writing (slides, MS Excel files, reports, etc.) with anyone. Using ideas, text and other intellectual property developed by someone else while claiming it is your original work is </w:t>
      </w:r>
      <w:r w:rsidRPr="001E5E42">
        <w:rPr>
          <w:i/>
        </w:rPr>
        <w:t>plagiarism</w:t>
      </w:r>
      <w:r w:rsidRPr="001E5E42">
        <w:t xml:space="preserve">.  Copying from others or providing answers or information, written or oral, to others is </w:t>
      </w:r>
      <w:r w:rsidRPr="001E5E42">
        <w:rPr>
          <w:i/>
        </w:rPr>
        <w:t>cheating</w:t>
      </w:r>
      <w:r w:rsidRPr="001E5E42">
        <w:t xml:space="preserve">.  Unauthorized help from another person or having someone else write one’s paper or assignment is </w:t>
      </w:r>
      <w:r w:rsidRPr="001E5E42">
        <w:rPr>
          <w:i/>
        </w:rPr>
        <w:t>collusion</w:t>
      </w:r>
      <w:r w:rsidRPr="001E5E42">
        <w:t>. Cheating, plagiarism and collusion are serious offenses that could result in an F grade and disciplinary action. Please pay utmost attention to avoid such accusations.</w:t>
      </w:r>
    </w:p>
    <w:p w:rsidR="00667DD7" w:rsidRDefault="00667DD7" w:rsidP="00667DD7">
      <w:pPr>
        <w:ind w:left="720"/>
        <w:rPr>
          <w:b/>
        </w:rPr>
      </w:pPr>
    </w:p>
    <w:p w:rsidR="00667DD7" w:rsidRDefault="00667DD7" w:rsidP="00667DD7">
      <w:pPr>
        <w:rPr>
          <w:b/>
        </w:rPr>
      </w:pPr>
      <w:bookmarkStart w:id="0" w:name="_GoBack"/>
      <w:bookmarkEnd w:id="0"/>
    </w:p>
    <w:p w:rsidR="00667DD7" w:rsidRPr="001E5E42" w:rsidRDefault="00667DD7" w:rsidP="00667DD7">
      <w:pPr>
        <w:ind w:left="720"/>
        <w:rPr>
          <w:b/>
        </w:rPr>
      </w:pPr>
      <w:r w:rsidRPr="001E5E42">
        <w:rPr>
          <w:b/>
        </w:rPr>
        <w:t>Classroom policies and conduct</w:t>
      </w:r>
    </w:p>
    <w:p w:rsidR="00667DD7" w:rsidRPr="001E5E42" w:rsidRDefault="00667DD7" w:rsidP="00667DD7">
      <w:pPr>
        <w:ind w:left="720"/>
      </w:pPr>
      <w:proofErr w:type="spellStart"/>
      <w:r w:rsidRPr="001E5E42">
        <w:t>Sabanc</w:t>
      </w:r>
      <w:proofErr w:type="spellEnd"/>
      <w:r w:rsidRPr="001E5E42">
        <w:rPr>
          <w:lang w:val="tr-TR"/>
        </w:rPr>
        <w:t>ı</w:t>
      </w:r>
      <w:r w:rsidRPr="001E5E42">
        <w:t xml:space="preserve"> BA in Management Program values participatory learning. Establishing the necessary social order for a participatory learning environment requires that we all:</w:t>
      </w:r>
    </w:p>
    <w:p w:rsidR="00667DD7" w:rsidRPr="001E5E42" w:rsidRDefault="00667DD7" w:rsidP="00667DD7">
      <w:pPr>
        <w:numPr>
          <w:ilvl w:val="0"/>
          <w:numId w:val="5"/>
        </w:numPr>
        <w:ind w:left="720" w:firstLine="0"/>
      </w:pPr>
      <w:r w:rsidRPr="001E5E42">
        <w:t>Come prepared to make helpful comments and ask questions that facilitate your own understanding and that of your classmates. This requires that you complete the assigned readings for each session before class starts.</w:t>
      </w:r>
    </w:p>
    <w:p w:rsidR="00667DD7" w:rsidRPr="001E5E42" w:rsidRDefault="00667DD7" w:rsidP="00667DD7">
      <w:pPr>
        <w:numPr>
          <w:ilvl w:val="0"/>
          <w:numId w:val="5"/>
        </w:numPr>
        <w:ind w:left="720" w:firstLine="0"/>
      </w:pPr>
      <w:r w:rsidRPr="001E5E42">
        <w:t>Listen to the person who has the floor.</w:t>
      </w:r>
    </w:p>
    <w:p w:rsidR="00667DD7" w:rsidRPr="001E5E42" w:rsidRDefault="00667DD7" w:rsidP="00667DD7">
      <w:pPr>
        <w:numPr>
          <w:ilvl w:val="0"/>
          <w:numId w:val="5"/>
        </w:numPr>
        <w:ind w:left="720" w:firstLine="0"/>
      </w:pPr>
      <w:r w:rsidRPr="001E5E42">
        <w:t>Come to class on time and do not leave before the professor gives a break or the class ends.</w:t>
      </w:r>
    </w:p>
    <w:p w:rsidR="00667DD7" w:rsidRPr="00904F4D" w:rsidRDefault="00667DD7" w:rsidP="00667DD7">
      <w:pPr>
        <w:numPr>
          <w:ilvl w:val="0"/>
          <w:numId w:val="5"/>
        </w:numPr>
        <w:suppressAutoHyphens/>
        <w:ind w:left="720" w:firstLine="0"/>
        <w:jc w:val="both"/>
        <w:rPr>
          <w:spacing w:val="-3"/>
        </w:rPr>
      </w:pPr>
      <w:r w:rsidRPr="001E5E42">
        <w:t>Use of laptops and cell phones is forbidden in lecture classes. Do not turn them on unless you are using the laptop for taking notes or referring to a spread sheet etc. You have to bring your laptops during recitation classes where you will sometimes be working on MAL or taking quizzes.</w:t>
      </w:r>
    </w:p>
    <w:p w:rsidR="00667DD7" w:rsidRDefault="00667DD7" w:rsidP="00667DD7">
      <w:pPr>
        <w:suppressAutoHyphens/>
        <w:jc w:val="both"/>
      </w:pPr>
    </w:p>
    <w:p w:rsidR="00667DD7" w:rsidRDefault="00667DD7" w:rsidP="00667DD7">
      <w:pPr>
        <w:suppressAutoHyphens/>
        <w:jc w:val="both"/>
      </w:pPr>
    </w:p>
    <w:p w:rsidR="00E47181" w:rsidRDefault="00E47181" w:rsidP="00C30228">
      <w:pPr>
        <w:jc w:val="center"/>
        <w:rPr>
          <w:rFonts w:ascii="Tahoma" w:hAnsi="Tahoma" w:cs="Tahoma"/>
          <w:sz w:val="17"/>
          <w:szCs w:val="17"/>
        </w:rPr>
      </w:pPr>
    </w:p>
    <w:sectPr w:rsidR="00E47181" w:rsidSect="002B76EE">
      <w:footerReference w:type="even" r:id="rId9"/>
      <w:footerReference w:type="default" r:id="rId10"/>
      <w:headerReference w:type="first" r:id="rId11"/>
      <w:footerReference w:type="first" r:id="rId12"/>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F24" w:rsidRDefault="00547F24">
      <w:r>
        <w:separator/>
      </w:r>
    </w:p>
  </w:endnote>
  <w:endnote w:type="continuationSeparator" w:id="0">
    <w:p w:rsidR="00547F24" w:rsidRDefault="00547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08D" w:rsidRDefault="004940D8" w:rsidP="004909ED">
    <w:pPr>
      <w:pStyle w:val="Footer"/>
      <w:framePr w:wrap="around" w:vAnchor="text" w:hAnchor="margin" w:xAlign="right" w:y="1"/>
      <w:rPr>
        <w:rStyle w:val="PageNumber"/>
      </w:rPr>
    </w:pPr>
    <w:r>
      <w:rPr>
        <w:rStyle w:val="PageNumber"/>
      </w:rPr>
      <w:fldChar w:fldCharType="begin"/>
    </w:r>
    <w:r w:rsidR="0032608D">
      <w:rPr>
        <w:rStyle w:val="PageNumber"/>
      </w:rPr>
      <w:instrText xml:space="preserve">PAGE  </w:instrText>
    </w:r>
    <w:r>
      <w:rPr>
        <w:rStyle w:val="PageNumber"/>
      </w:rPr>
      <w:fldChar w:fldCharType="end"/>
    </w:r>
  </w:p>
  <w:p w:rsidR="0032608D" w:rsidRDefault="0032608D" w:rsidP="00A2342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08D" w:rsidRDefault="004940D8" w:rsidP="004909ED">
    <w:pPr>
      <w:pStyle w:val="Footer"/>
      <w:framePr w:wrap="around" w:vAnchor="text" w:hAnchor="margin" w:xAlign="right" w:y="1"/>
      <w:rPr>
        <w:rStyle w:val="PageNumber"/>
      </w:rPr>
    </w:pPr>
    <w:r>
      <w:rPr>
        <w:rStyle w:val="PageNumber"/>
      </w:rPr>
      <w:fldChar w:fldCharType="begin"/>
    </w:r>
    <w:r w:rsidR="0032608D">
      <w:rPr>
        <w:rStyle w:val="PageNumber"/>
      </w:rPr>
      <w:instrText xml:space="preserve">PAGE  </w:instrText>
    </w:r>
    <w:r>
      <w:rPr>
        <w:rStyle w:val="PageNumber"/>
      </w:rPr>
      <w:fldChar w:fldCharType="separate"/>
    </w:r>
    <w:r w:rsidR="00B14975">
      <w:rPr>
        <w:rStyle w:val="PageNumber"/>
        <w:noProof/>
      </w:rPr>
      <w:t>3</w:t>
    </w:r>
    <w:r>
      <w:rPr>
        <w:rStyle w:val="PageNumber"/>
      </w:rPr>
      <w:fldChar w:fldCharType="end"/>
    </w:r>
    <w:r w:rsidR="0032608D">
      <w:rPr>
        <w:rStyle w:val="PageNumber"/>
      </w:rPr>
      <w:t>/</w:t>
    </w:r>
    <w:r>
      <w:rPr>
        <w:rStyle w:val="PageNumber"/>
      </w:rPr>
      <w:fldChar w:fldCharType="begin"/>
    </w:r>
    <w:r w:rsidR="0032608D">
      <w:rPr>
        <w:rStyle w:val="PageNumber"/>
      </w:rPr>
      <w:instrText xml:space="preserve"> NUMPAGES </w:instrText>
    </w:r>
    <w:r>
      <w:rPr>
        <w:rStyle w:val="PageNumber"/>
      </w:rPr>
      <w:fldChar w:fldCharType="separate"/>
    </w:r>
    <w:r w:rsidR="00B14975">
      <w:rPr>
        <w:rStyle w:val="PageNumber"/>
        <w:noProof/>
      </w:rPr>
      <w:t>3</w:t>
    </w:r>
    <w:r>
      <w:rPr>
        <w:rStyle w:val="PageNumber"/>
      </w:rPr>
      <w:fldChar w:fldCharType="end"/>
    </w:r>
  </w:p>
  <w:p w:rsidR="0032608D" w:rsidRDefault="0032608D" w:rsidP="00A23423">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1C1" w:rsidRDefault="00DC51C1" w:rsidP="00AF5FBF">
    <w:pPr>
      <w:ind w:left="6480" w:firstLine="720"/>
    </w:pPr>
    <w:r>
      <w:t xml:space="preserve">Page </w:t>
    </w:r>
    <w:r w:rsidR="004940D8">
      <w:fldChar w:fldCharType="begin"/>
    </w:r>
    <w:r w:rsidR="004940D8">
      <w:instrText xml:space="preserve"> PAGE </w:instrText>
    </w:r>
    <w:r w:rsidR="004940D8">
      <w:fldChar w:fldCharType="separate"/>
    </w:r>
    <w:r w:rsidR="00B14975">
      <w:rPr>
        <w:noProof/>
      </w:rPr>
      <w:t>1</w:t>
    </w:r>
    <w:r w:rsidR="004940D8">
      <w:fldChar w:fldCharType="end"/>
    </w:r>
    <w:r>
      <w:t xml:space="preserve"> of </w:t>
    </w:r>
    <w:r w:rsidR="004A0B7D">
      <w:fldChar w:fldCharType="begin"/>
    </w:r>
    <w:r w:rsidR="004A0B7D">
      <w:instrText xml:space="preserve"> NUMPAGES  </w:instrText>
    </w:r>
    <w:r w:rsidR="004A0B7D">
      <w:fldChar w:fldCharType="separate"/>
    </w:r>
    <w:r w:rsidR="00B14975">
      <w:rPr>
        <w:noProof/>
      </w:rPr>
      <w:t>3</w:t>
    </w:r>
    <w:r w:rsidR="004A0B7D">
      <w:rPr>
        <w:noProof/>
      </w:rPr>
      <w:fldChar w:fldCharType="end"/>
    </w:r>
  </w:p>
  <w:p w:rsidR="001E2F03" w:rsidRDefault="001E2F03" w:rsidP="001E2F0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F24" w:rsidRDefault="00547F24">
      <w:r>
        <w:separator/>
      </w:r>
    </w:p>
  </w:footnote>
  <w:footnote w:type="continuationSeparator" w:id="0">
    <w:p w:rsidR="00547F24" w:rsidRDefault="00547F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08D" w:rsidRPr="00BD6E37" w:rsidRDefault="0032608D" w:rsidP="00AD6F3C">
    <w:pPr>
      <w:pStyle w:val="Header"/>
      <w:pBdr>
        <w:top w:val="single" w:sz="4" w:space="2" w:color="auto"/>
        <w:left w:val="single" w:sz="4" w:space="4" w:color="auto"/>
        <w:bottom w:val="single" w:sz="4" w:space="1" w:color="auto"/>
        <w:right w:val="single" w:sz="4" w:space="4" w:color="auto"/>
      </w:pBdr>
    </w:pPr>
    <w:r>
      <w:rPr>
        <w:lang w:val="tr-TR"/>
      </w:rPr>
      <w:tab/>
    </w:r>
    <w:r w:rsidR="00E457CD">
      <w:rPr>
        <w:noProof/>
      </w:rPr>
      <w:drawing>
        <wp:inline distT="0" distB="0" distL="0" distR="0">
          <wp:extent cx="2647950" cy="6381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mlogo2.jpg"/>
                  <pic:cNvPicPr/>
                </pic:nvPicPr>
                <pic:blipFill>
                  <a:blip r:embed="rId1">
                    <a:extLst>
                      <a:ext uri="{28A0092B-C50C-407E-A947-70E740481C1C}">
                        <a14:useLocalDpi xmlns:a14="http://schemas.microsoft.com/office/drawing/2010/main" val="0"/>
                      </a:ext>
                    </a:extLst>
                  </a:blip>
                  <a:stretch>
                    <a:fillRect/>
                  </a:stretch>
                </pic:blipFill>
                <pic:spPr>
                  <a:xfrm>
                    <a:off x="0" y="0"/>
                    <a:ext cx="2647950" cy="638175"/>
                  </a:xfrm>
                  <a:prstGeom prst="rect">
                    <a:avLst/>
                  </a:prstGeom>
                </pic:spPr>
              </pic:pic>
            </a:graphicData>
          </a:graphic>
        </wp:inline>
      </w:drawing>
    </w:r>
    <w:r>
      <w:rPr>
        <w:lang w:val="tr-TR"/>
      </w:rPr>
      <w:tab/>
    </w:r>
  </w:p>
  <w:p w:rsidR="0032608D" w:rsidRDefault="0032608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1DB145F6"/>
    <w:multiLevelType w:val="hybridMultilevel"/>
    <w:tmpl w:val="3A2E5E58"/>
    <w:lvl w:ilvl="0" w:tplc="0C661198">
      <w:numFmt w:val="bullet"/>
      <w:lvlText w:val=""/>
      <w:lvlJc w:val="left"/>
      <w:pPr>
        <w:tabs>
          <w:tab w:val="num" w:pos="600"/>
        </w:tabs>
        <w:ind w:left="600" w:hanging="360"/>
      </w:pPr>
      <w:rPr>
        <w:rFonts w:ascii="Symbol" w:eastAsia="Times New Roman" w:hAnsi="Symbol" w:cs="Times New Roman" w:hint="default"/>
      </w:rPr>
    </w:lvl>
    <w:lvl w:ilvl="1" w:tplc="041F0003">
      <w:start w:val="1"/>
      <w:numFmt w:val="bullet"/>
      <w:lvlText w:val="o"/>
      <w:lvlJc w:val="left"/>
      <w:pPr>
        <w:tabs>
          <w:tab w:val="num" w:pos="1320"/>
        </w:tabs>
        <w:ind w:left="1320" w:hanging="360"/>
      </w:pPr>
      <w:rPr>
        <w:rFonts w:ascii="Courier New" w:hAnsi="Courier New" w:cs="Courier New" w:hint="default"/>
      </w:rPr>
    </w:lvl>
    <w:lvl w:ilvl="2" w:tplc="041F0005" w:tentative="1">
      <w:start w:val="1"/>
      <w:numFmt w:val="bullet"/>
      <w:lvlText w:val=""/>
      <w:lvlJc w:val="left"/>
      <w:pPr>
        <w:tabs>
          <w:tab w:val="num" w:pos="2040"/>
        </w:tabs>
        <w:ind w:left="2040" w:hanging="360"/>
      </w:pPr>
      <w:rPr>
        <w:rFonts w:ascii="Wingdings" w:hAnsi="Wingdings" w:hint="default"/>
      </w:rPr>
    </w:lvl>
    <w:lvl w:ilvl="3" w:tplc="041F0001" w:tentative="1">
      <w:start w:val="1"/>
      <w:numFmt w:val="bullet"/>
      <w:lvlText w:val=""/>
      <w:lvlJc w:val="left"/>
      <w:pPr>
        <w:tabs>
          <w:tab w:val="num" w:pos="2760"/>
        </w:tabs>
        <w:ind w:left="2760" w:hanging="360"/>
      </w:pPr>
      <w:rPr>
        <w:rFonts w:ascii="Symbol" w:hAnsi="Symbol" w:hint="default"/>
      </w:rPr>
    </w:lvl>
    <w:lvl w:ilvl="4" w:tplc="041F0003" w:tentative="1">
      <w:start w:val="1"/>
      <w:numFmt w:val="bullet"/>
      <w:lvlText w:val="o"/>
      <w:lvlJc w:val="left"/>
      <w:pPr>
        <w:tabs>
          <w:tab w:val="num" w:pos="3480"/>
        </w:tabs>
        <w:ind w:left="3480" w:hanging="360"/>
      </w:pPr>
      <w:rPr>
        <w:rFonts w:ascii="Courier New" w:hAnsi="Courier New" w:cs="Courier New" w:hint="default"/>
      </w:rPr>
    </w:lvl>
    <w:lvl w:ilvl="5" w:tplc="041F0005" w:tentative="1">
      <w:start w:val="1"/>
      <w:numFmt w:val="bullet"/>
      <w:lvlText w:val=""/>
      <w:lvlJc w:val="left"/>
      <w:pPr>
        <w:tabs>
          <w:tab w:val="num" w:pos="4200"/>
        </w:tabs>
        <w:ind w:left="4200" w:hanging="360"/>
      </w:pPr>
      <w:rPr>
        <w:rFonts w:ascii="Wingdings" w:hAnsi="Wingdings" w:hint="default"/>
      </w:rPr>
    </w:lvl>
    <w:lvl w:ilvl="6" w:tplc="041F0001" w:tentative="1">
      <w:start w:val="1"/>
      <w:numFmt w:val="bullet"/>
      <w:lvlText w:val=""/>
      <w:lvlJc w:val="left"/>
      <w:pPr>
        <w:tabs>
          <w:tab w:val="num" w:pos="4920"/>
        </w:tabs>
        <w:ind w:left="4920" w:hanging="360"/>
      </w:pPr>
      <w:rPr>
        <w:rFonts w:ascii="Symbol" w:hAnsi="Symbol" w:hint="default"/>
      </w:rPr>
    </w:lvl>
    <w:lvl w:ilvl="7" w:tplc="041F0003" w:tentative="1">
      <w:start w:val="1"/>
      <w:numFmt w:val="bullet"/>
      <w:lvlText w:val="o"/>
      <w:lvlJc w:val="left"/>
      <w:pPr>
        <w:tabs>
          <w:tab w:val="num" w:pos="5640"/>
        </w:tabs>
        <w:ind w:left="5640" w:hanging="360"/>
      </w:pPr>
      <w:rPr>
        <w:rFonts w:ascii="Courier New" w:hAnsi="Courier New" w:cs="Courier New" w:hint="default"/>
      </w:rPr>
    </w:lvl>
    <w:lvl w:ilvl="8" w:tplc="041F0005" w:tentative="1">
      <w:start w:val="1"/>
      <w:numFmt w:val="bullet"/>
      <w:lvlText w:val=""/>
      <w:lvlJc w:val="left"/>
      <w:pPr>
        <w:tabs>
          <w:tab w:val="num" w:pos="6360"/>
        </w:tabs>
        <w:ind w:left="6360" w:hanging="360"/>
      </w:pPr>
      <w:rPr>
        <w:rFonts w:ascii="Wingdings" w:hAnsi="Wingdings" w:hint="default"/>
      </w:rPr>
    </w:lvl>
  </w:abstractNum>
  <w:abstractNum w:abstractNumId="2" w15:restartNumberingAfterBreak="0">
    <w:nsid w:val="43A96E53"/>
    <w:multiLevelType w:val="hybridMultilevel"/>
    <w:tmpl w:val="8B34F2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B3704BF"/>
    <w:multiLevelType w:val="hybridMultilevel"/>
    <w:tmpl w:val="8C66A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D13C9C"/>
    <w:multiLevelType w:val="hybridMultilevel"/>
    <w:tmpl w:val="F27AB3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3533D95"/>
    <w:multiLevelType w:val="hybridMultilevel"/>
    <w:tmpl w:val="179AF0C2"/>
    <w:lvl w:ilvl="0" w:tplc="04090001">
      <w:start w:val="5"/>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1"/>
  </w:num>
  <w:num w:numId="6">
    <w:abstractNumId w:val="0"/>
    <w:lvlOverride w:ilvl="0">
      <w:lvl w:ilvl="0">
        <w:numFmt w:val="bullet"/>
        <w:lvlText w:val=""/>
        <w:legacy w:legacy="1" w:legacySpace="0" w:legacyIndent="360"/>
        <w:lvlJc w:val="left"/>
        <w:pPr>
          <w:ind w:left="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532"/>
    <w:rsid w:val="0005013F"/>
    <w:rsid w:val="000579F1"/>
    <w:rsid w:val="0006179D"/>
    <w:rsid w:val="00062D6C"/>
    <w:rsid w:val="00072A7D"/>
    <w:rsid w:val="000908F4"/>
    <w:rsid w:val="00091A49"/>
    <w:rsid w:val="000925F2"/>
    <w:rsid w:val="000939E2"/>
    <w:rsid w:val="0009424F"/>
    <w:rsid w:val="00094B14"/>
    <w:rsid w:val="000A1EC8"/>
    <w:rsid w:val="000C74D8"/>
    <w:rsid w:val="000D51E3"/>
    <w:rsid w:val="000D5CB0"/>
    <w:rsid w:val="000D79EF"/>
    <w:rsid w:val="000D7D8A"/>
    <w:rsid w:val="000E72FE"/>
    <w:rsid w:val="00103CD1"/>
    <w:rsid w:val="001076ED"/>
    <w:rsid w:val="0011502F"/>
    <w:rsid w:val="00122081"/>
    <w:rsid w:val="0013070B"/>
    <w:rsid w:val="001434A9"/>
    <w:rsid w:val="0014634E"/>
    <w:rsid w:val="001551F3"/>
    <w:rsid w:val="00161D3F"/>
    <w:rsid w:val="001631E6"/>
    <w:rsid w:val="00177B70"/>
    <w:rsid w:val="0018309A"/>
    <w:rsid w:val="00190247"/>
    <w:rsid w:val="001A20B3"/>
    <w:rsid w:val="001B5B59"/>
    <w:rsid w:val="001C1B99"/>
    <w:rsid w:val="001E2F03"/>
    <w:rsid w:val="00250D28"/>
    <w:rsid w:val="0025355C"/>
    <w:rsid w:val="0025359C"/>
    <w:rsid w:val="0025798F"/>
    <w:rsid w:val="0026667E"/>
    <w:rsid w:val="002716AD"/>
    <w:rsid w:val="00274040"/>
    <w:rsid w:val="00283D27"/>
    <w:rsid w:val="00291216"/>
    <w:rsid w:val="002A5EBA"/>
    <w:rsid w:val="002A7678"/>
    <w:rsid w:val="002B76EE"/>
    <w:rsid w:val="002C7102"/>
    <w:rsid w:val="002F55F1"/>
    <w:rsid w:val="00310436"/>
    <w:rsid w:val="0032608D"/>
    <w:rsid w:val="00326AFF"/>
    <w:rsid w:val="003365CC"/>
    <w:rsid w:val="00340606"/>
    <w:rsid w:val="0034797F"/>
    <w:rsid w:val="00361B64"/>
    <w:rsid w:val="003651C2"/>
    <w:rsid w:val="0036726D"/>
    <w:rsid w:val="0037601F"/>
    <w:rsid w:val="00393822"/>
    <w:rsid w:val="003B6AB3"/>
    <w:rsid w:val="003D3B91"/>
    <w:rsid w:val="003E7DE5"/>
    <w:rsid w:val="003F1334"/>
    <w:rsid w:val="003F34B3"/>
    <w:rsid w:val="00403780"/>
    <w:rsid w:val="004043C9"/>
    <w:rsid w:val="004044B1"/>
    <w:rsid w:val="00405BE1"/>
    <w:rsid w:val="00406F64"/>
    <w:rsid w:val="00425B17"/>
    <w:rsid w:val="00427FBC"/>
    <w:rsid w:val="004356E2"/>
    <w:rsid w:val="004430AE"/>
    <w:rsid w:val="00445FB7"/>
    <w:rsid w:val="00456131"/>
    <w:rsid w:val="00467DD9"/>
    <w:rsid w:val="00471CC0"/>
    <w:rsid w:val="00482329"/>
    <w:rsid w:val="004909ED"/>
    <w:rsid w:val="004940D8"/>
    <w:rsid w:val="00495769"/>
    <w:rsid w:val="004A0B7D"/>
    <w:rsid w:val="004A58DE"/>
    <w:rsid w:val="004B7284"/>
    <w:rsid w:val="004D0E12"/>
    <w:rsid w:val="004D6170"/>
    <w:rsid w:val="004D769F"/>
    <w:rsid w:val="004F2D1F"/>
    <w:rsid w:val="00502D79"/>
    <w:rsid w:val="00506D4B"/>
    <w:rsid w:val="00517C0B"/>
    <w:rsid w:val="00525349"/>
    <w:rsid w:val="005307EC"/>
    <w:rsid w:val="005436A1"/>
    <w:rsid w:val="00547F24"/>
    <w:rsid w:val="005778CC"/>
    <w:rsid w:val="005804BB"/>
    <w:rsid w:val="00583BA6"/>
    <w:rsid w:val="00586440"/>
    <w:rsid w:val="00593532"/>
    <w:rsid w:val="005B38E2"/>
    <w:rsid w:val="005C74E5"/>
    <w:rsid w:val="005C7B30"/>
    <w:rsid w:val="005E77B7"/>
    <w:rsid w:val="00601FA4"/>
    <w:rsid w:val="0060204D"/>
    <w:rsid w:val="006028B4"/>
    <w:rsid w:val="00611D82"/>
    <w:rsid w:val="00637497"/>
    <w:rsid w:val="00647EA7"/>
    <w:rsid w:val="00662048"/>
    <w:rsid w:val="00667DD7"/>
    <w:rsid w:val="00674A2A"/>
    <w:rsid w:val="00692806"/>
    <w:rsid w:val="006935E9"/>
    <w:rsid w:val="006B67B0"/>
    <w:rsid w:val="006B6DE9"/>
    <w:rsid w:val="006C1B93"/>
    <w:rsid w:val="006D7CB0"/>
    <w:rsid w:val="006E136F"/>
    <w:rsid w:val="006F006E"/>
    <w:rsid w:val="006F14F1"/>
    <w:rsid w:val="006F65CA"/>
    <w:rsid w:val="007269E8"/>
    <w:rsid w:val="00731BE9"/>
    <w:rsid w:val="00737DD9"/>
    <w:rsid w:val="0079202D"/>
    <w:rsid w:val="007953DD"/>
    <w:rsid w:val="00797688"/>
    <w:rsid w:val="007A50B7"/>
    <w:rsid w:val="007C29D1"/>
    <w:rsid w:val="007D11EF"/>
    <w:rsid w:val="007D42AA"/>
    <w:rsid w:val="007D5880"/>
    <w:rsid w:val="007E3520"/>
    <w:rsid w:val="007E49C8"/>
    <w:rsid w:val="007F730E"/>
    <w:rsid w:val="00804D47"/>
    <w:rsid w:val="00821B59"/>
    <w:rsid w:val="008366A5"/>
    <w:rsid w:val="008412B9"/>
    <w:rsid w:val="00845D80"/>
    <w:rsid w:val="0085221D"/>
    <w:rsid w:val="008561F6"/>
    <w:rsid w:val="00886B1D"/>
    <w:rsid w:val="008B6E46"/>
    <w:rsid w:val="008C2E3A"/>
    <w:rsid w:val="008C3C95"/>
    <w:rsid w:val="008D0174"/>
    <w:rsid w:val="008D104F"/>
    <w:rsid w:val="008D5CBF"/>
    <w:rsid w:val="008F45ED"/>
    <w:rsid w:val="00900702"/>
    <w:rsid w:val="00912482"/>
    <w:rsid w:val="00913FCE"/>
    <w:rsid w:val="00915739"/>
    <w:rsid w:val="009249B8"/>
    <w:rsid w:val="0093604D"/>
    <w:rsid w:val="00940C5B"/>
    <w:rsid w:val="00945A23"/>
    <w:rsid w:val="00956648"/>
    <w:rsid w:val="009618D3"/>
    <w:rsid w:val="00963AF0"/>
    <w:rsid w:val="00971F8B"/>
    <w:rsid w:val="009756A8"/>
    <w:rsid w:val="009940A6"/>
    <w:rsid w:val="009B13E8"/>
    <w:rsid w:val="009C1517"/>
    <w:rsid w:val="009C5350"/>
    <w:rsid w:val="009D11EB"/>
    <w:rsid w:val="009F6410"/>
    <w:rsid w:val="00A12930"/>
    <w:rsid w:val="00A20690"/>
    <w:rsid w:val="00A23423"/>
    <w:rsid w:val="00A265F7"/>
    <w:rsid w:val="00A41E00"/>
    <w:rsid w:val="00A60FF8"/>
    <w:rsid w:val="00A6279A"/>
    <w:rsid w:val="00A639AB"/>
    <w:rsid w:val="00A66734"/>
    <w:rsid w:val="00A67EA6"/>
    <w:rsid w:val="00AA5206"/>
    <w:rsid w:val="00AA6935"/>
    <w:rsid w:val="00AD3A2E"/>
    <w:rsid w:val="00AD5D30"/>
    <w:rsid w:val="00AD6F3C"/>
    <w:rsid w:val="00AF5FBF"/>
    <w:rsid w:val="00B14975"/>
    <w:rsid w:val="00B4683D"/>
    <w:rsid w:val="00B51015"/>
    <w:rsid w:val="00B51E2D"/>
    <w:rsid w:val="00B85F43"/>
    <w:rsid w:val="00B97540"/>
    <w:rsid w:val="00BC57E4"/>
    <w:rsid w:val="00BD6E37"/>
    <w:rsid w:val="00BE5777"/>
    <w:rsid w:val="00BF259A"/>
    <w:rsid w:val="00C17185"/>
    <w:rsid w:val="00C17540"/>
    <w:rsid w:val="00C25FC4"/>
    <w:rsid w:val="00C30228"/>
    <w:rsid w:val="00C3791C"/>
    <w:rsid w:val="00C413BB"/>
    <w:rsid w:val="00C54BB9"/>
    <w:rsid w:val="00C61708"/>
    <w:rsid w:val="00C63FB3"/>
    <w:rsid w:val="00C659E4"/>
    <w:rsid w:val="00C6719C"/>
    <w:rsid w:val="00C843BB"/>
    <w:rsid w:val="00C85ED0"/>
    <w:rsid w:val="00C96D70"/>
    <w:rsid w:val="00CA0576"/>
    <w:rsid w:val="00CA3831"/>
    <w:rsid w:val="00CA5019"/>
    <w:rsid w:val="00CA6704"/>
    <w:rsid w:val="00CB2F00"/>
    <w:rsid w:val="00CB6B73"/>
    <w:rsid w:val="00CB6E58"/>
    <w:rsid w:val="00CD4CBE"/>
    <w:rsid w:val="00CF315B"/>
    <w:rsid w:val="00D21BD3"/>
    <w:rsid w:val="00D31410"/>
    <w:rsid w:val="00D405EF"/>
    <w:rsid w:val="00D47ACF"/>
    <w:rsid w:val="00D50ECD"/>
    <w:rsid w:val="00D547FE"/>
    <w:rsid w:val="00D67CBD"/>
    <w:rsid w:val="00D87836"/>
    <w:rsid w:val="00DA28E1"/>
    <w:rsid w:val="00DC51C1"/>
    <w:rsid w:val="00DC73B2"/>
    <w:rsid w:val="00DD07C6"/>
    <w:rsid w:val="00DD2143"/>
    <w:rsid w:val="00DD223B"/>
    <w:rsid w:val="00DF248C"/>
    <w:rsid w:val="00E2250D"/>
    <w:rsid w:val="00E30603"/>
    <w:rsid w:val="00E44163"/>
    <w:rsid w:val="00E457CD"/>
    <w:rsid w:val="00E47181"/>
    <w:rsid w:val="00E476C3"/>
    <w:rsid w:val="00E52AD3"/>
    <w:rsid w:val="00E547C1"/>
    <w:rsid w:val="00E578E8"/>
    <w:rsid w:val="00E61D70"/>
    <w:rsid w:val="00E769E3"/>
    <w:rsid w:val="00E860EA"/>
    <w:rsid w:val="00E868E3"/>
    <w:rsid w:val="00E90275"/>
    <w:rsid w:val="00EA16AC"/>
    <w:rsid w:val="00EB0E43"/>
    <w:rsid w:val="00EC1566"/>
    <w:rsid w:val="00EC1F14"/>
    <w:rsid w:val="00EF2D84"/>
    <w:rsid w:val="00F03A8D"/>
    <w:rsid w:val="00F106EC"/>
    <w:rsid w:val="00F1438C"/>
    <w:rsid w:val="00F30C34"/>
    <w:rsid w:val="00F62137"/>
    <w:rsid w:val="00F668A4"/>
    <w:rsid w:val="00F86CD5"/>
    <w:rsid w:val="00FA7854"/>
    <w:rsid w:val="00FB707F"/>
    <w:rsid w:val="00FF05F9"/>
    <w:rsid w:val="00FF4123"/>
    <w:rsid w:val="00FF7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9689D0"/>
  <w15:chartTrackingRefBased/>
  <w15:docId w15:val="{C97AACBD-9CC9-486C-962B-79A14F5EE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6E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D6E37"/>
    <w:pPr>
      <w:tabs>
        <w:tab w:val="center" w:pos="4320"/>
        <w:tab w:val="right" w:pos="8640"/>
      </w:tabs>
    </w:pPr>
  </w:style>
  <w:style w:type="paragraph" w:styleId="Footer">
    <w:name w:val="footer"/>
    <w:basedOn w:val="Normal"/>
    <w:link w:val="FooterChar"/>
    <w:uiPriority w:val="99"/>
    <w:rsid w:val="00BD6E37"/>
    <w:pPr>
      <w:tabs>
        <w:tab w:val="center" w:pos="4320"/>
        <w:tab w:val="right" w:pos="8640"/>
      </w:tabs>
    </w:pPr>
  </w:style>
  <w:style w:type="table" w:styleId="TableGrid">
    <w:name w:val="Table Grid"/>
    <w:basedOn w:val="TableNormal"/>
    <w:rsid w:val="00057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56648"/>
    <w:rPr>
      <w:color w:val="0000FF"/>
      <w:u w:val="single"/>
    </w:rPr>
  </w:style>
  <w:style w:type="character" w:styleId="FollowedHyperlink">
    <w:name w:val="FollowedHyperlink"/>
    <w:rsid w:val="00940C5B"/>
    <w:rPr>
      <w:color w:val="800080"/>
      <w:u w:val="single"/>
    </w:rPr>
  </w:style>
  <w:style w:type="character" w:styleId="PageNumber">
    <w:name w:val="page number"/>
    <w:basedOn w:val="DefaultParagraphFont"/>
    <w:rsid w:val="00A23423"/>
  </w:style>
  <w:style w:type="character" w:customStyle="1" w:styleId="FooterChar">
    <w:name w:val="Footer Char"/>
    <w:link w:val="Footer"/>
    <w:uiPriority w:val="99"/>
    <w:rsid w:val="001E2F03"/>
    <w:rPr>
      <w:sz w:val="24"/>
      <w:szCs w:val="24"/>
    </w:rPr>
  </w:style>
  <w:style w:type="paragraph" w:styleId="BalloonText">
    <w:name w:val="Balloon Text"/>
    <w:basedOn w:val="Normal"/>
    <w:link w:val="BalloonTextChar"/>
    <w:rsid w:val="001E2F03"/>
    <w:rPr>
      <w:rFonts w:ascii="Tahoma" w:hAnsi="Tahoma" w:cs="Tahoma"/>
      <w:sz w:val="16"/>
      <w:szCs w:val="16"/>
    </w:rPr>
  </w:style>
  <w:style w:type="character" w:customStyle="1" w:styleId="BalloonTextChar">
    <w:name w:val="Balloon Text Char"/>
    <w:link w:val="BalloonText"/>
    <w:rsid w:val="001E2F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21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course.sabanciuniv.edu/por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FE675-B4EB-4337-88DC-A6B5E3E3D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835</Words>
  <Characters>4764</Characters>
  <Application>Microsoft Office Word</Application>
  <DocSecurity>0</DocSecurity>
  <Lines>39</Lines>
  <Paragraphs>11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Executive MBA</vt:lpstr>
      <vt:lpstr>Executive MBA</vt:lpstr>
    </vt:vector>
  </TitlesOfParts>
  <Company>Sabanci University</Company>
  <LinksUpToDate>false</LinksUpToDate>
  <CharactersWithSpaces>5588</CharactersWithSpaces>
  <SharedDoc>false</SharedDoc>
  <HLinks>
    <vt:vector size="6" baseType="variant">
      <vt:variant>
        <vt:i4>7929933</vt:i4>
      </vt:variant>
      <vt:variant>
        <vt:i4>0</vt:i4>
      </vt:variant>
      <vt:variant>
        <vt:i4>0</vt:i4>
      </vt:variant>
      <vt:variant>
        <vt:i4>5</vt:i4>
      </vt:variant>
      <vt:variant>
        <vt:lpwstr>mailto:ksaatcioglu@sabanciuniv.edu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MBA</dc:title>
  <dc:subject/>
  <dc:creator>Can Akkan</dc:creator>
  <cp:keywords/>
  <cp:lastModifiedBy>Windows User</cp:lastModifiedBy>
  <cp:revision>2</cp:revision>
  <cp:lastPrinted>2006-01-02T08:18:00Z</cp:lastPrinted>
  <dcterms:created xsi:type="dcterms:W3CDTF">2021-02-25T11:45:00Z</dcterms:created>
  <dcterms:modified xsi:type="dcterms:W3CDTF">2021-02-25T11:45:00Z</dcterms:modified>
</cp:coreProperties>
</file>