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E4" w:rsidRPr="00BC25E4" w:rsidRDefault="00E048C4">
      <w:pPr>
        <w:rPr>
          <w:b/>
        </w:rPr>
      </w:pPr>
      <w:r w:rsidRPr="00BC25E4">
        <w:rPr>
          <w:b/>
        </w:rPr>
        <w:t>Paper list</w:t>
      </w:r>
      <w:r w:rsidR="00BC25E4" w:rsidRPr="00BC25E4">
        <w:rPr>
          <w:b/>
        </w:rPr>
        <w:t xml:space="preserve"> – Applied Models</w:t>
      </w:r>
    </w:p>
    <w:p w:rsidR="00BC25E4" w:rsidRPr="00BC25E4" w:rsidRDefault="00BC25E4">
      <w:pPr>
        <w:rPr>
          <w:b/>
        </w:rPr>
      </w:pPr>
      <w:r w:rsidRPr="00BC25E4">
        <w:rPr>
          <w:b/>
        </w:rPr>
        <w:t>GMM</w:t>
      </w:r>
    </w:p>
    <w:p w:rsidR="00E048C4" w:rsidRPr="00BC25E4" w:rsidRDefault="00E048C4" w:rsidP="00E048C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Arellano, M., &amp; Bond, S. (1991). Some tests of specification for panel data: Monte Carlo evidence and an application to employment equations.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The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eview of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conomic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tudies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277-297.</w:t>
      </w:r>
      <w:r w:rsidR="00BC25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C25E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(Dynamic panel models)</w:t>
      </w:r>
    </w:p>
    <w:p w:rsidR="00BC25E4" w:rsidRPr="00BC25E4" w:rsidRDefault="00BC25E4" w:rsidP="00BC25E4">
      <w:pPr>
        <w:rPr>
          <w:b/>
        </w:rPr>
      </w:pPr>
      <w:r w:rsidRPr="00BC25E4">
        <w:rPr>
          <w:b/>
        </w:rPr>
        <w:t>Matching estimators</w:t>
      </w:r>
    </w:p>
    <w:p w:rsidR="00E048C4" w:rsidRPr="00BC25E4" w:rsidRDefault="00E048C4" w:rsidP="00E048C4">
      <w:pPr>
        <w:pStyle w:val="ListParagraph"/>
        <w:numPr>
          <w:ilvl w:val="0"/>
          <w:numId w:val="1"/>
        </w:numPr>
        <w:rPr>
          <w:b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Heckman, J.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Ichimura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Todd, P. E. (1997). Matching as an econometric evaluation estimator: Evidence from evaluating 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job training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Review of Economic S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tudies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605-654.</w:t>
      </w:r>
      <w:r w:rsidR="00BC25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C25E4" w:rsidRPr="00BC25E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(Propensity score matching)</w:t>
      </w:r>
    </w:p>
    <w:p w:rsidR="00BC25E4" w:rsidRDefault="00BC25E4" w:rsidP="00BC25E4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Aghion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Akcigit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U., </w:t>
      </w:r>
      <w:bookmarkStart w:id="0" w:name="_GoBack"/>
      <w:bookmarkEnd w:id="0"/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Hyytinen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Toivanen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O. (2018, May). On the returns to invention within firms: Evidence from Finland.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AEA Papers and Proceedings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(Vol. 108, pp. 208-12). </w:t>
      </w:r>
      <w:r w:rsidRPr="00BC25E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(Coarsened exact matching)</w:t>
      </w:r>
    </w:p>
    <w:p w:rsidR="00BC25E4" w:rsidRPr="00E048C4" w:rsidRDefault="00BC25E4" w:rsidP="00BC25E4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Abadie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Diamond, A.,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Hainmueller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(2015). Comparative politics and the synthetic control method.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Journal of Political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495-510.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C25E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(Synthetic control method)</w:t>
      </w:r>
    </w:p>
    <w:p w:rsidR="00BC25E4" w:rsidRPr="00BC25E4" w:rsidRDefault="00BC25E4" w:rsidP="00BC25E4">
      <w:pPr>
        <w:rPr>
          <w:b/>
        </w:rPr>
      </w:pPr>
      <w:r w:rsidRPr="00BC25E4">
        <w:rPr>
          <w:b/>
        </w:rPr>
        <w:t>Regression discontinuity</w:t>
      </w:r>
    </w:p>
    <w:p w:rsidR="00BC25E4" w:rsidRPr="00E048C4" w:rsidRDefault="00BC25E4" w:rsidP="00BC25E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Card, D., Johnston, A., Leung, P., Mas, A., &amp; Pei, Z. (2015). The effect of unemployment benefits on the duration of unemployment insurance receipt: New evidence from a regression kink design in Missouri, 2003-2013.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Economic Review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126-30.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(Regression kink design)</w:t>
      </w:r>
    </w:p>
    <w:p w:rsidR="00BC25E4" w:rsidRPr="00BC25E4" w:rsidRDefault="00BC25E4" w:rsidP="00BC25E4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Lundqvist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Dahlberg,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Mörk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E. (2014). Stimulating local public employment: Do general grants work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?.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Economic Journal: Economic Policy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167-92.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(Regression discontinuity / IV)</w:t>
      </w:r>
    </w:p>
    <w:p w:rsidR="00BC25E4" w:rsidRPr="00BC25E4" w:rsidRDefault="00BC25E4" w:rsidP="00BC25E4">
      <w:pPr>
        <w:rPr>
          <w:b/>
        </w:rPr>
      </w:pPr>
      <w:r>
        <w:rPr>
          <w:b/>
        </w:rPr>
        <w:t>Instrumental variables</w:t>
      </w:r>
    </w:p>
    <w:p w:rsidR="00BC25E4" w:rsidRPr="00BC25E4" w:rsidRDefault="00BC25E4" w:rsidP="00BC25E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Angrist, J., &amp; Evans, W. (1998). Children and Their Parents' Labor Supply: Evidence from Exogenous Variation in Family Size.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Economic Review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450-77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(IV)</w:t>
      </w:r>
    </w:p>
    <w:p w:rsidR="00BC25E4" w:rsidRPr="00BC25E4" w:rsidRDefault="00BC25E4" w:rsidP="00BC25E4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Acemoglu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D., Johnson, S., &amp; Robinson, J. A. (2001). The colonial origins of comparative development: An empirical investigation.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 economic review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1369-1401.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(Cross Country IV)</w:t>
      </w:r>
    </w:p>
    <w:p w:rsidR="00BC25E4" w:rsidRPr="00BC25E4" w:rsidRDefault="00BC25E4" w:rsidP="00BC25E4">
      <w:pPr>
        <w:rPr>
          <w:b/>
        </w:rPr>
      </w:pPr>
      <w:r w:rsidRPr="00BC25E4">
        <w:rPr>
          <w:b/>
        </w:rPr>
        <w:t>Difference in differences</w:t>
      </w:r>
    </w:p>
    <w:p w:rsidR="00E048C4" w:rsidRPr="00E048C4" w:rsidRDefault="00E048C4" w:rsidP="00BC25E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Bertrand,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Duflo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E., &amp; Mullainathan, S. (2004). How much should we trust differences-in-differences estimates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?.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Quarterly Journal of E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conomics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249-275</w:t>
      </w:r>
      <w:r w:rsidR="00BC25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BC25E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(Difference-in-differences standard errors)</w:t>
      </w:r>
    </w:p>
    <w:p w:rsidR="00BC25E4" w:rsidRDefault="00BC25E4" w:rsidP="00BC25E4">
      <w:pPr>
        <w:pStyle w:val="ListParagrap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sectPr w:rsidR="00BC2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3968"/>
    <w:multiLevelType w:val="hybridMultilevel"/>
    <w:tmpl w:val="44D6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B7BF8"/>
    <w:multiLevelType w:val="hybridMultilevel"/>
    <w:tmpl w:val="44D6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4"/>
    <w:rsid w:val="00494686"/>
    <w:rsid w:val="00BC25E4"/>
    <w:rsid w:val="00E048C4"/>
    <w:rsid w:val="00E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F519"/>
  <w15:chartTrackingRefBased/>
  <w15:docId w15:val="{658DD0BC-D684-49AD-BA4C-42311865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Sabanci University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suuser</dc:creator>
  <cp:keywords/>
  <dc:description/>
  <cp:lastModifiedBy>suuser</cp:lastModifiedBy>
  <cp:revision>1</cp:revision>
  <dcterms:created xsi:type="dcterms:W3CDTF">2021-03-20T07:57:00Z</dcterms:created>
  <dcterms:modified xsi:type="dcterms:W3CDTF">2021-03-20T08:14:00Z</dcterms:modified>
</cp:coreProperties>
</file>