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D79B" w14:textId="77777777" w:rsidR="00F4294B" w:rsidRDefault="00F4294B" w:rsidP="00F4294B">
      <w:pPr>
        <w:jc w:val="center"/>
        <w:rPr>
          <w:b/>
          <w:sz w:val="28"/>
          <w:szCs w:val="28"/>
        </w:rPr>
      </w:pPr>
      <w:r>
        <w:rPr>
          <w:b/>
          <w:sz w:val="28"/>
          <w:szCs w:val="28"/>
        </w:rPr>
        <w:t>Executive MBA</w:t>
      </w:r>
    </w:p>
    <w:p w14:paraId="1A4F1214" w14:textId="77777777" w:rsidR="00F4294B" w:rsidRDefault="00F4294B" w:rsidP="00F4294B">
      <w:pPr>
        <w:jc w:val="center"/>
        <w:rPr>
          <w:b/>
          <w:sz w:val="28"/>
          <w:szCs w:val="28"/>
        </w:rPr>
      </w:pPr>
      <w:r>
        <w:rPr>
          <w:b/>
          <w:sz w:val="28"/>
          <w:szCs w:val="28"/>
        </w:rPr>
        <w:t>Spring 2020-2021</w:t>
      </w:r>
    </w:p>
    <w:p w14:paraId="667548A7" w14:textId="77777777" w:rsidR="00F4294B" w:rsidRDefault="00F4294B" w:rsidP="00F4294B">
      <w:pPr>
        <w:jc w:val="center"/>
        <w:rPr>
          <w:b/>
          <w:sz w:val="28"/>
          <w:szCs w:val="28"/>
        </w:rPr>
      </w:pPr>
      <w:r>
        <w:rPr>
          <w:b/>
          <w:sz w:val="28"/>
          <w:szCs w:val="28"/>
        </w:rPr>
        <w:t>MGMT 964 Great</w:t>
      </w:r>
      <w:r w:rsidRPr="00EF6134">
        <w:rPr>
          <w:b/>
          <w:sz w:val="28"/>
          <w:szCs w:val="28"/>
        </w:rPr>
        <w:t xml:space="preserve"> People Decisions</w:t>
      </w:r>
    </w:p>
    <w:p w14:paraId="3C712222" w14:textId="77777777" w:rsidR="00F4294B" w:rsidRPr="00E476C3" w:rsidRDefault="00F4294B" w:rsidP="00F4294B">
      <w:pPr>
        <w:jc w:val="center"/>
        <w:rPr>
          <w:b/>
          <w:sz w:val="28"/>
          <w:szCs w:val="28"/>
        </w:rPr>
      </w:pPr>
    </w:p>
    <w:p w14:paraId="5B3748AB" w14:textId="77777777" w:rsidR="00F4294B" w:rsidRPr="00945A23" w:rsidRDefault="00F4294B" w:rsidP="00F4294B">
      <w:pPr>
        <w:tabs>
          <w:tab w:val="left" w:pos="1560"/>
        </w:tabs>
      </w:pPr>
      <w:r w:rsidRPr="00945A23">
        <w:rPr>
          <w:b/>
        </w:rPr>
        <w:t>Instructor:</w:t>
      </w:r>
      <w:r w:rsidRPr="00945A23">
        <w:tab/>
      </w:r>
      <w:r>
        <w:t>Murat Yeşildere</w:t>
      </w:r>
    </w:p>
    <w:p w14:paraId="72EBAB8C" w14:textId="77777777" w:rsidR="00F4294B" w:rsidRPr="00945A23" w:rsidRDefault="00F4294B" w:rsidP="00F4294B">
      <w:pPr>
        <w:tabs>
          <w:tab w:val="left" w:pos="1560"/>
        </w:tabs>
      </w:pPr>
      <w:r w:rsidRPr="00945A23">
        <w:rPr>
          <w:b/>
        </w:rPr>
        <w:t>Office:</w:t>
      </w:r>
      <w:r w:rsidRPr="00945A23">
        <w:tab/>
      </w:r>
      <w:r>
        <w:t>N/A</w:t>
      </w:r>
    </w:p>
    <w:p w14:paraId="56211B7C" w14:textId="77777777" w:rsidR="00F4294B" w:rsidRPr="00945A23" w:rsidRDefault="00F4294B" w:rsidP="00F4294B">
      <w:pPr>
        <w:tabs>
          <w:tab w:val="left" w:pos="1560"/>
        </w:tabs>
      </w:pPr>
      <w:r w:rsidRPr="00945A23">
        <w:rPr>
          <w:b/>
        </w:rPr>
        <w:t>Phone:</w:t>
      </w:r>
      <w:r w:rsidRPr="00945A23">
        <w:tab/>
        <w:t>(</w:t>
      </w:r>
      <w:r>
        <w:t>0212</w:t>
      </w:r>
      <w:r w:rsidRPr="00945A23">
        <w:t xml:space="preserve">) </w:t>
      </w:r>
      <w:r>
        <w:t>381</w:t>
      </w:r>
      <w:r w:rsidRPr="00945A23">
        <w:t>-</w:t>
      </w:r>
      <w:r>
        <w:t>66 20</w:t>
      </w:r>
    </w:p>
    <w:p w14:paraId="4F28472D" w14:textId="77777777" w:rsidR="00F4294B" w:rsidRPr="00945A23" w:rsidRDefault="00F4294B" w:rsidP="00F4294B">
      <w:pPr>
        <w:tabs>
          <w:tab w:val="left" w:pos="1560"/>
        </w:tabs>
      </w:pPr>
      <w:r w:rsidRPr="00945A23">
        <w:rPr>
          <w:b/>
        </w:rPr>
        <w:t>Fax:</w:t>
      </w:r>
      <w:r>
        <w:tab/>
        <w:t>(0212</w:t>
      </w:r>
      <w:r w:rsidRPr="00945A23">
        <w:t xml:space="preserve">) </w:t>
      </w:r>
      <w:r>
        <w:t>236</w:t>
      </w:r>
      <w:r w:rsidRPr="00945A23">
        <w:t>-</w:t>
      </w:r>
      <w:r>
        <w:t>73 99</w:t>
      </w:r>
    </w:p>
    <w:p w14:paraId="573F6F19" w14:textId="77777777" w:rsidR="00F4294B" w:rsidRPr="00945A23" w:rsidRDefault="00F4294B" w:rsidP="00F4294B">
      <w:pPr>
        <w:tabs>
          <w:tab w:val="left" w:pos="1560"/>
        </w:tabs>
      </w:pPr>
      <w:r w:rsidRPr="00945A23">
        <w:rPr>
          <w:b/>
        </w:rPr>
        <w:t>E-mail:</w:t>
      </w:r>
      <w:r w:rsidRPr="00945A23">
        <w:tab/>
      </w:r>
      <w:r>
        <w:t>murat.yesildere@egonzehnder.com</w:t>
      </w:r>
    </w:p>
    <w:p w14:paraId="3796058C" w14:textId="77777777" w:rsidR="00F4294B" w:rsidRPr="000D7D8A" w:rsidRDefault="00F4294B" w:rsidP="00F4294B">
      <w:pPr>
        <w:tabs>
          <w:tab w:val="left" w:pos="1560"/>
        </w:tabs>
      </w:pPr>
      <w:r w:rsidRPr="000D7D8A">
        <w:rPr>
          <w:b/>
        </w:rPr>
        <w:t>Web:</w:t>
      </w:r>
      <w:r w:rsidRPr="000D7D8A">
        <w:tab/>
        <w:t>SuCourse</w:t>
      </w:r>
    </w:p>
    <w:p w14:paraId="115FA22E" w14:textId="42059691" w:rsidR="00F4294B" w:rsidRDefault="00F4294B" w:rsidP="00F4294B">
      <w:pPr>
        <w:tabs>
          <w:tab w:val="left" w:pos="1560"/>
        </w:tabs>
      </w:pPr>
      <w:r w:rsidRPr="00945A23">
        <w:rPr>
          <w:b/>
        </w:rPr>
        <w:t>Office Hours:</w:t>
      </w:r>
      <w:r>
        <w:tab/>
      </w:r>
      <w:r w:rsidRPr="002A3D82">
        <w:t>By appointment</w:t>
      </w:r>
    </w:p>
    <w:p w14:paraId="6B6E1090" w14:textId="77777777" w:rsidR="00F4294B" w:rsidRPr="00945A23" w:rsidRDefault="00F4294B" w:rsidP="00F4294B">
      <w:pPr>
        <w:tabs>
          <w:tab w:val="left" w:pos="1560"/>
        </w:tabs>
      </w:pPr>
    </w:p>
    <w:p w14:paraId="598C5299" w14:textId="77777777" w:rsidR="000D79EF" w:rsidRPr="004A58DE" w:rsidRDefault="000D79EF" w:rsidP="00C30228">
      <w:pPr>
        <w:rPr>
          <w:b/>
        </w:rPr>
      </w:pPr>
      <w:r w:rsidRPr="004A58DE">
        <w:rPr>
          <w:b/>
        </w:rPr>
        <w:t>Course Objective:</w:t>
      </w:r>
    </w:p>
    <w:p w14:paraId="1AB66BC8" w14:textId="4EA82E7F" w:rsidR="00F4294B" w:rsidRDefault="00F4294B" w:rsidP="00F4294B">
      <w:pPr>
        <w:jc w:val="both"/>
      </w:pPr>
      <w:r>
        <w:t>The course will aim to increase the awareness and competence of participants in making refined people decisions, via a journey through Good, Better and Great People Decisions.</w:t>
      </w:r>
      <w:r w:rsidRPr="005C0ACB">
        <w:t xml:space="preserve"> </w:t>
      </w:r>
      <w:r>
        <w:t xml:space="preserve">This course will introduce students how to make more effective people decisions. </w:t>
      </w:r>
    </w:p>
    <w:p w14:paraId="6351971E" w14:textId="77777777" w:rsidR="00F4294B" w:rsidRDefault="00F4294B" w:rsidP="00F4294B">
      <w:pPr>
        <w:jc w:val="both"/>
      </w:pPr>
    </w:p>
    <w:p w14:paraId="4C1F5455" w14:textId="7D3649DD" w:rsidR="00F4294B" w:rsidRDefault="00F4294B" w:rsidP="00F4294B">
      <w:pPr>
        <w:jc w:val="both"/>
      </w:pPr>
      <w:r>
        <w:t xml:space="preserve">In a comprehensive and practical way, the course will use simple language </w:t>
      </w:r>
      <w:r w:rsidR="000C5F70">
        <w:t>to</w:t>
      </w:r>
      <w:r>
        <w:t xml:space="preserve"> provide what one needs to know about hiring and promoting (senior) talent.</w:t>
      </w:r>
    </w:p>
    <w:p w14:paraId="5E8D34B0" w14:textId="77777777" w:rsidR="009756A8" w:rsidRDefault="009756A8" w:rsidP="00C30228"/>
    <w:p w14:paraId="23042808" w14:textId="05C76F1C" w:rsidR="00F4294B" w:rsidRDefault="000D79EF" w:rsidP="00F4294B">
      <w:r w:rsidRPr="004A58DE">
        <w:rPr>
          <w:b/>
        </w:rPr>
        <w:t>Learning Outcomes:</w:t>
      </w:r>
      <w:r w:rsidR="009756A8">
        <w:rPr>
          <w:b/>
        </w:rPr>
        <w:t xml:space="preserve"> </w:t>
      </w:r>
      <w:r w:rsidR="009756A8">
        <w:rPr>
          <w:b/>
        </w:rPr>
        <w:br/>
      </w:r>
      <w:r w:rsidR="00F4294B" w:rsidRPr="00CA3831">
        <w:t>Upon successful completion of the course, the student should be able to:</w:t>
      </w:r>
    </w:p>
    <w:p w14:paraId="4EFE2F35" w14:textId="77777777" w:rsidR="00F4294B" w:rsidRPr="00CA3831" w:rsidRDefault="00F4294B" w:rsidP="00F4294B"/>
    <w:p w14:paraId="5FCA2633" w14:textId="119F8739" w:rsidR="00E319B7" w:rsidRDefault="00E319B7" w:rsidP="00E319B7">
      <w:pPr>
        <w:jc w:val="both"/>
      </w:pPr>
      <w:r>
        <w:t>1.</w:t>
      </w:r>
      <w:r>
        <w:t>Better understand “What Good Looks Like” in talent management.</w:t>
      </w:r>
    </w:p>
    <w:p w14:paraId="718071AD" w14:textId="30136210" w:rsidR="00F4294B" w:rsidRDefault="00E319B7" w:rsidP="00F4294B">
      <w:pPr>
        <w:jc w:val="both"/>
      </w:pPr>
      <w:r>
        <w:t>2</w:t>
      </w:r>
      <w:r w:rsidR="00F4294B">
        <w:t>.Examine</w:t>
      </w:r>
      <w:r w:rsidR="00F4294B">
        <w:t xml:space="preserve"> and distinguish between</w:t>
      </w:r>
      <w:r w:rsidR="00F4294B">
        <w:t xml:space="preserve"> the talent assessment and development tools and how they fit into an overall talent management plan.</w:t>
      </w:r>
    </w:p>
    <w:p w14:paraId="6795F195" w14:textId="5DD581C6" w:rsidR="00F4294B" w:rsidRDefault="00E319B7" w:rsidP="00F4294B">
      <w:pPr>
        <w:jc w:val="both"/>
      </w:pPr>
      <w:r>
        <w:t>3</w:t>
      </w:r>
      <w:r w:rsidR="00F4294B">
        <w:t>.Use relevant tools to identify opportunities and threats in making people decisions.</w:t>
      </w:r>
    </w:p>
    <w:p w14:paraId="7E61C528" w14:textId="550073D3" w:rsidR="00F4294B" w:rsidRDefault="00E319B7" w:rsidP="00F4294B">
      <w:pPr>
        <w:jc w:val="both"/>
      </w:pPr>
      <w:r>
        <w:t>4</w:t>
      </w:r>
      <w:r w:rsidR="00F4294B">
        <w:t>.Apply the relevant techniques of critical thinking to analyze organizational needs and make timely recommendations.</w:t>
      </w:r>
    </w:p>
    <w:p w14:paraId="4C27F0E8" w14:textId="355FF9FF" w:rsidR="00E319B7" w:rsidRDefault="00E319B7" w:rsidP="00F4294B">
      <w:pPr>
        <w:jc w:val="both"/>
      </w:pPr>
      <w:r>
        <w:t xml:space="preserve">5.Assess competencies demonstrated/required in different roles through performance displayed in or performance needs of the role. </w:t>
      </w:r>
    </w:p>
    <w:p w14:paraId="775F6AD5" w14:textId="5CB53993" w:rsidR="00E319B7" w:rsidRDefault="00E319B7" w:rsidP="00F4294B">
      <w:pPr>
        <w:jc w:val="both"/>
      </w:pPr>
      <w:r>
        <w:t xml:space="preserve">6.Discuss individual strengths and areas of development (with “competency language”) while focusing on practical capabilities of “personal brand management” (oral/written).  </w:t>
      </w:r>
    </w:p>
    <w:p w14:paraId="329A071E" w14:textId="77777777" w:rsidR="00CA3831" w:rsidRDefault="00CA3831" w:rsidP="004430AE">
      <w:pPr>
        <w:rPr>
          <w:b/>
        </w:rPr>
      </w:pPr>
    </w:p>
    <w:p w14:paraId="5A0FD4AD" w14:textId="77777777" w:rsidR="004430AE" w:rsidRDefault="004430AE" w:rsidP="004430AE">
      <w:pPr>
        <w:rPr>
          <w:b/>
        </w:rPr>
      </w:pPr>
      <w:r w:rsidRPr="004430AE">
        <w:rPr>
          <w:b/>
        </w:rPr>
        <w:t>Course Material:</w:t>
      </w:r>
    </w:p>
    <w:p w14:paraId="6F568574" w14:textId="77777777" w:rsidR="00A17C0F" w:rsidRDefault="00A17C0F" w:rsidP="00A17C0F">
      <w:r>
        <w:t>Lecture, presentations, class-room discussions, handouts, classroom assignments, project</w:t>
      </w:r>
    </w:p>
    <w:p w14:paraId="654AA27B" w14:textId="77777777" w:rsidR="00A17C0F" w:rsidRDefault="00A17C0F" w:rsidP="00A17C0F">
      <w:r w:rsidRPr="00202FDF">
        <w:rPr>
          <w:b/>
          <w:i/>
        </w:rPr>
        <w:t>Great People Decisions</w:t>
      </w:r>
      <w:r>
        <w:t xml:space="preserve">, by </w:t>
      </w:r>
      <w:r w:rsidRPr="00202FDF">
        <w:rPr>
          <w:b/>
          <w:i/>
        </w:rPr>
        <w:t>Claudio Fernandez Araoz</w:t>
      </w:r>
      <w:r>
        <w:t xml:space="preserve"> will be the “course book”</w:t>
      </w:r>
    </w:p>
    <w:p w14:paraId="65C52DD4" w14:textId="14C1D2A1" w:rsidR="004A58DE" w:rsidRPr="003D3B91" w:rsidRDefault="004A58DE" w:rsidP="00C30228">
      <w:pPr>
        <w:rPr>
          <w:color w:val="FF0000"/>
        </w:rPr>
      </w:pPr>
    </w:p>
    <w:p w14:paraId="2731AC63" w14:textId="77777777" w:rsidR="004430AE" w:rsidRPr="004430AE" w:rsidRDefault="004430AE" w:rsidP="00C30228">
      <w:pPr>
        <w:rPr>
          <w:b/>
        </w:rPr>
      </w:pPr>
      <w:r w:rsidRPr="004430AE">
        <w:rPr>
          <w:b/>
        </w:rPr>
        <w:t xml:space="preserve">Course </w:t>
      </w:r>
      <w:r w:rsidR="007A50B7">
        <w:rPr>
          <w:b/>
        </w:rPr>
        <w:t>W</w:t>
      </w:r>
      <w:r w:rsidRPr="004430AE">
        <w:rPr>
          <w:b/>
        </w:rPr>
        <w:t>eb:</w:t>
      </w:r>
    </w:p>
    <w:p w14:paraId="34B8BF3A" w14:textId="54164C2D" w:rsidR="00A17C0F" w:rsidRDefault="00A17C0F" w:rsidP="00A17C0F">
      <w:pPr>
        <w:jc w:val="both"/>
      </w:pPr>
      <w:r>
        <w:t>Executive MBA program maintains a joint web site for all EMBA courses offered in the spring semester (</w:t>
      </w:r>
      <w:r>
        <w:t>SuCourse</w:t>
      </w:r>
      <w:r>
        <w:t xml:space="preserve">). </w:t>
      </w:r>
      <w:r>
        <w:t xml:space="preserve">On the site, students will be able to find recordings of the course as well as weekly lecture notes/presentations. </w:t>
      </w:r>
    </w:p>
    <w:p w14:paraId="0B962DA3" w14:textId="77777777" w:rsidR="00A17C0F" w:rsidRDefault="00A17C0F" w:rsidP="00C30228">
      <w:pPr>
        <w:rPr>
          <w:b/>
        </w:rPr>
      </w:pPr>
    </w:p>
    <w:p w14:paraId="0489585B" w14:textId="77777777" w:rsidR="00A17C0F" w:rsidRDefault="00A17C0F" w:rsidP="00C30228">
      <w:pPr>
        <w:rPr>
          <w:b/>
        </w:rPr>
      </w:pPr>
    </w:p>
    <w:p w14:paraId="26679097" w14:textId="1B617319" w:rsidR="004A58DE" w:rsidRPr="007A50B7" w:rsidRDefault="009940A6" w:rsidP="00C30228">
      <w:pPr>
        <w:rPr>
          <w:b/>
        </w:rPr>
      </w:pPr>
      <w:r>
        <w:rPr>
          <w:b/>
        </w:rPr>
        <w:lastRenderedPageBreak/>
        <w:t>Instructional Design</w:t>
      </w:r>
      <w:r w:rsidR="007A50B7" w:rsidRPr="007A50B7">
        <w:rPr>
          <w:b/>
        </w:rPr>
        <w:t>:</w:t>
      </w:r>
    </w:p>
    <w:p w14:paraId="470EE89D" w14:textId="2E9C3B5D" w:rsidR="007A50B7" w:rsidRDefault="00A17C0F" w:rsidP="00A17C0F">
      <w:pPr>
        <w:jc w:val="both"/>
      </w:pPr>
      <w:r>
        <w:t xml:space="preserve">The course will be taught with extensive discussions in the class. The students are expected to do pre-reading (from Great People Decisions) </w:t>
      </w:r>
      <w:r w:rsidR="000C5F70">
        <w:t>to</w:t>
      </w:r>
      <w:r>
        <w:t xml:space="preserve"> be active in the class discussions. There will be a project paper to be prepared in</w:t>
      </w:r>
      <w:r>
        <w:t>dividually and presented and discussed in</w:t>
      </w:r>
      <w:r>
        <w:t xml:space="preserve"> </w:t>
      </w:r>
      <w:r>
        <w:t>groups</w:t>
      </w:r>
      <w:r>
        <w:t>.</w:t>
      </w:r>
    </w:p>
    <w:p w14:paraId="1C6B136E" w14:textId="77777777" w:rsidR="00A17C0F" w:rsidRDefault="00A17C0F" w:rsidP="00A17C0F">
      <w:pPr>
        <w:jc w:val="both"/>
      </w:pPr>
    </w:p>
    <w:p w14:paraId="21FEA3C8" w14:textId="77777777"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A17C0F" w14:paraId="51D19B1E" w14:textId="77777777" w:rsidTr="00E63050">
        <w:trPr>
          <w:cantSplit/>
        </w:trPr>
        <w:tc>
          <w:tcPr>
            <w:tcW w:w="2655" w:type="dxa"/>
          </w:tcPr>
          <w:p w14:paraId="1E679527" w14:textId="77777777" w:rsidR="00A17C0F" w:rsidRDefault="00A17C0F" w:rsidP="00E63050">
            <w:r>
              <w:t>Attendance</w:t>
            </w:r>
          </w:p>
          <w:p w14:paraId="06D1A9CD" w14:textId="77777777" w:rsidR="00A17C0F" w:rsidRDefault="00A17C0F" w:rsidP="00E63050">
            <w:r>
              <w:t xml:space="preserve">Participation in class            </w:t>
            </w:r>
          </w:p>
        </w:tc>
        <w:tc>
          <w:tcPr>
            <w:tcW w:w="993" w:type="dxa"/>
          </w:tcPr>
          <w:p w14:paraId="346BCC87" w14:textId="77777777" w:rsidR="00A17C0F" w:rsidRDefault="00A17C0F" w:rsidP="00E63050">
            <w:r>
              <w:t>: 25%</w:t>
            </w:r>
          </w:p>
          <w:p w14:paraId="26923395" w14:textId="77777777" w:rsidR="00A17C0F" w:rsidRDefault="00A17C0F" w:rsidP="00E63050">
            <w:r>
              <w:t>: 25%</w:t>
            </w:r>
          </w:p>
        </w:tc>
      </w:tr>
      <w:tr w:rsidR="00A17C0F" w14:paraId="1B376E7E" w14:textId="77777777" w:rsidTr="00E63050">
        <w:trPr>
          <w:cantSplit/>
        </w:trPr>
        <w:tc>
          <w:tcPr>
            <w:tcW w:w="2655" w:type="dxa"/>
          </w:tcPr>
          <w:p w14:paraId="7138AC61" w14:textId="77777777" w:rsidR="00A17C0F" w:rsidRDefault="00A17C0F" w:rsidP="00E63050">
            <w:r>
              <w:t>Team Case preparation</w:t>
            </w:r>
          </w:p>
        </w:tc>
        <w:tc>
          <w:tcPr>
            <w:tcW w:w="993" w:type="dxa"/>
          </w:tcPr>
          <w:p w14:paraId="263A0751" w14:textId="77777777" w:rsidR="00A17C0F" w:rsidRDefault="00A17C0F" w:rsidP="00E63050">
            <w:pPr>
              <w:rPr>
                <w:b/>
              </w:rPr>
            </w:pPr>
            <w:r>
              <w:t>: 25%</w:t>
            </w:r>
          </w:p>
        </w:tc>
      </w:tr>
      <w:tr w:rsidR="00A17C0F" w14:paraId="70A52424" w14:textId="77777777" w:rsidTr="00E63050">
        <w:trPr>
          <w:cantSplit/>
        </w:trPr>
        <w:tc>
          <w:tcPr>
            <w:tcW w:w="2655" w:type="dxa"/>
          </w:tcPr>
          <w:p w14:paraId="389696DD" w14:textId="77777777" w:rsidR="00A17C0F" w:rsidRDefault="00A17C0F" w:rsidP="00E63050">
            <w:r>
              <w:t>Team Case presentation</w:t>
            </w:r>
          </w:p>
          <w:p w14:paraId="042673E1" w14:textId="77777777" w:rsidR="00A17C0F" w:rsidRDefault="00A17C0F" w:rsidP="00E63050"/>
        </w:tc>
        <w:tc>
          <w:tcPr>
            <w:tcW w:w="993" w:type="dxa"/>
          </w:tcPr>
          <w:p w14:paraId="52383F2D" w14:textId="77777777" w:rsidR="00A17C0F" w:rsidRDefault="00A17C0F" w:rsidP="00E63050">
            <w:pPr>
              <w:pStyle w:val="Header"/>
            </w:pPr>
            <w:r>
              <w:t>: 25%</w:t>
            </w:r>
          </w:p>
          <w:p w14:paraId="52DC8347" w14:textId="77777777" w:rsidR="00A17C0F" w:rsidRDefault="00A17C0F" w:rsidP="00E63050">
            <w:pPr>
              <w:pStyle w:val="Header"/>
              <w:rPr>
                <w:b/>
              </w:rPr>
            </w:pPr>
            <w:r>
              <w:t xml:space="preserve"> </w:t>
            </w:r>
          </w:p>
        </w:tc>
      </w:tr>
    </w:tbl>
    <w:p w14:paraId="1D72A552" w14:textId="77777777" w:rsidR="002716AD" w:rsidRPr="002716AD" w:rsidRDefault="002716AD" w:rsidP="00C30228">
      <w:pPr>
        <w:rPr>
          <w:b/>
        </w:rPr>
      </w:pPr>
      <w:r w:rsidRPr="002716AD">
        <w:rPr>
          <w:b/>
        </w:rPr>
        <w:t>Requirements:</w:t>
      </w:r>
    </w:p>
    <w:p w14:paraId="499E90C1" w14:textId="6228CCB8" w:rsidR="00A17C0F" w:rsidRPr="009D4188" w:rsidRDefault="00A17C0F" w:rsidP="00A17C0F">
      <w:pPr>
        <w:jc w:val="both"/>
      </w:pPr>
      <w:r>
        <w:t>The</w:t>
      </w:r>
      <w:r w:rsidRPr="009D4188">
        <w:t xml:space="preserve"> course </w:t>
      </w:r>
      <w:r>
        <w:t xml:space="preserve">will be </w:t>
      </w:r>
      <w:r w:rsidRPr="009D4188">
        <w:t xml:space="preserve">heavily based </w:t>
      </w:r>
      <w:r>
        <w:t>on open discussions and debate in class; hence active a</w:t>
      </w:r>
      <w:r w:rsidRPr="009D4188">
        <w:t xml:space="preserve">ttendance </w:t>
      </w:r>
      <w:r>
        <w:t xml:space="preserve">to all 3.5 hours will be looked for, </w:t>
      </w:r>
      <w:r w:rsidR="000C5F70">
        <w:t>to</w:t>
      </w:r>
      <w:r>
        <w:t xml:space="preserve"> be accepted as attended to that week’s class. And for similar reasons, anyone who fails to attend less than 4 of the 6 weeks will automatically get an “F” grade.</w:t>
      </w:r>
    </w:p>
    <w:p w14:paraId="63241F2B" w14:textId="77777777" w:rsidR="00A17C0F" w:rsidRDefault="00A17C0F" w:rsidP="00A17C0F"/>
    <w:p w14:paraId="7BCC9367" w14:textId="0A9233D2" w:rsidR="00A17C0F" w:rsidRDefault="00A17C0F" w:rsidP="00A17C0F">
      <w:r>
        <w:t xml:space="preserve">In </w:t>
      </w:r>
      <w:r>
        <w:t>P</w:t>
      </w:r>
      <w:r>
        <w:t>roject</w:t>
      </w:r>
      <w:r>
        <w:t xml:space="preserve"> Paper</w:t>
      </w:r>
      <w:r>
        <w:t>, the students will be expected to;</w:t>
      </w:r>
    </w:p>
    <w:p w14:paraId="723FCE00" w14:textId="3B5AECF6" w:rsidR="00A17C0F" w:rsidRDefault="00A17C0F" w:rsidP="00A17C0F">
      <w:r>
        <w:t xml:space="preserve">- prepare their “individual </w:t>
      </w:r>
      <w:r>
        <w:t>paper</w:t>
      </w:r>
      <w:r>
        <w:t>” (25%)</w:t>
      </w:r>
    </w:p>
    <w:p w14:paraId="14CED24F" w14:textId="4ACEA0B5" w:rsidR="00A17C0F" w:rsidRDefault="00A17C0F" w:rsidP="00A17C0F">
      <w:r>
        <w:t xml:space="preserve">- present their </w:t>
      </w:r>
      <w:r>
        <w:t>project paper</w:t>
      </w:r>
      <w:r>
        <w:t>-as part of a team, confronted by fellow participants of the course (25%)</w:t>
      </w:r>
    </w:p>
    <w:p w14:paraId="3B633D0B" w14:textId="77777777" w:rsidR="003D3B91" w:rsidRDefault="003D3B91" w:rsidP="00C30228">
      <w:pPr>
        <w:rPr>
          <w:b/>
        </w:rPr>
      </w:pPr>
    </w:p>
    <w:p w14:paraId="692999FF" w14:textId="77777777" w:rsidR="002A7678" w:rsidRDefault="002A7678" w:rsidP="00C30228">
      <w:pPr>
        <w:rPr>
          <w:b/>
        </w:rPr>
      </w:pPr>
      <w:r>
        <w:rPr>
          <w:b/>
        </w:rPr>
        <w:t xml:space="preserve">Academic Honesty: </w:t>
      </w:r>
    </w:p>
    <w:p w14:paraId="0464348D"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1340AFB6" w14:textId="77777777" w:rsidR="00062D6C" w:rsidRDefault="00062D6C" w:rsidP="00C30228">
      <w:pPr>
        <w:rPr>
          <w:b/>
        </w:rPr>
      </w:pPr>
    </w:p>
    <w:p w14:paraId="33A18C38" w14:textId="77777777" w:rsidR="00445FB7" w:rsidRPr="001F1948" w:rsidRDefault="00445FB7" w:rsidP="00445FB7">
      <w:pPr>
        <w:rPr>
          <w:b/>
        </w:rPr>
      </w:pPr>
      <w:r w:rsidRPr="001F1948">
        <w:rPr>
          <w:b/>
        </w:rPr>
        <w:t>Classroom policies and conduct</w:t>
      </w:r>
    </w:p>
    <w:p w14:paraId="578D1589" w14:textId="77777777" w:rsidR="00445FB7" w:rsidRPr="001F1948" w:rsidRDefault="00445FB7" w:rsidP="00445FB7">
      <w:r>
        <w:t>Sabanc</w:t>
      </w:r>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14:paraId="5A8016C3"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7EF6298D" w14:textId="77777777" w:rsidR="00445FB7" w:rsidRPr="001F1948" w:rsidRDefault="00445FB7" w:rsidP="00445FB7">
      <w:pPr>
        <w:numPr>
          <w:ilvl w:val="0"/>
          <w:numId w:val="5"/>
        </w:numPr>
      </w:pPr>
      <w:r w:rsidRPr="001F1948">
        <w:t>Listen to the person who has the floor.</w:t>
      </w:r>
    </w:p>
    <w:p w14:paraId="44A509F2" w14:textId="77777777" w:rsidR="00445FB7" w:rsidRDefault="00445FB7" w:rsidP="00445FB7">
      <w:pPr>
        <w:numPr>
          <w:ilvl w:val="0"/>
          <w:numId w:val="5"/>
        </w:numPr>
      </w:pPr>
      <w:r w:rsidRPr="001F1948">
        <w:t>Come to class on time.</w:t>
      </w:r>
    </w:p>
    <w:p w14:paraId="0B6B7539" w14:textId="77777777" w:rsidR="000C5F70" w:rsidRDefault="000C5F70" w:rsidP="00C30228">
      <w:pPr>
        <w:rPr>
          <w:b/>
        </w:rPr>
      </w:pPr>
    </w:p>
    <w:p w14:paraId="2E9198D6" w14:textId="77777777" w:rsidR="000C5F70" w:rsidRDefault="000C5F70" w:rsidP="00C30228">
      <w:pPr>
        <w:rPr>
          <w:b/>
        </w:rPr>
      </w:pPr>
    </w:p>
    <w:p w14:paraId="0AE49370" w14:textId="347CB0A6" w:rsidR="00CF315B" w:rsidRDefault="005E77B7" w:rsidP="00C30228">
      <w:r w:rsidRPr="005E77B7">
        <w:rPr>
          <w:b/>
        </w:rPr>
        <w:t>Course Schedule:</w:t>
      </w:r>
    </w:p>
    <w:p w14:paraId="3198A97B" w14:textId="77777777" w:rsidR="000C5F70" w:rsidRDefault="000C5F70" w:rsidP="000C5F70"/>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44"/>
        <w:gridCol w:w="6328"/>
      </w:tblGrid>
      <w:tr w:rsidR="000C5F70" w:rsidRPr="00EC2539" w14:paraId="7A7A6918" w14:textId="77777777" w:rsidTr="00E63050">
        <w:tc>
          <w:tcPr>
            <w:tcW w:w="1368" w:type="dxa"/>
            <w:tcBorders>
              <w:top w:val="single" w:sz="4" w:space="0" w:color="auto"/>
              <w:left w:val="nil"/>
              <w:bottom w:val="nil"/>
              <w:right w:val="nil"/>
            </w:tcBorders>
          </w:tcPr>
          <w:p w14:paraId="48AA9F70" w14:textId="77777777" w:rsidR="000C5F70" w:rsidRPr="00EC2539" w:rsidRDefault="000C5F70" w:rsidP="00E63050">
            <w:pPr>
              <w:rPr>
                <w:b/>
              </w:rPr>
            </w:pPr>
            <w:r w:rsidRPr="00EC2539">
              <w:rPr>
                <w:b/>
              </w:rPr>
              <w:t>Session 1:</w:t>
            </w:r>
          </w:p>
        </w:tc>
        <w:tc>
          <w:tcPr>
            <w:tcW w:w="944" w:type="dxa"/>
            <w:tcBorders>
              <w:top w:val="single" w:sz="4" w:space="0" w:color="auto"/>
              <w:left w:val="nil"/>
              <w:bottom w:val="nil"/>
              <w:right w:val="nil"/>
            </w:tcBorders>
          </w:tcPr>
          <w:p w14:paraId="54B357AA" w14:textId="77777777" w:rsidR="000C5F70" w:rsidRPr="00EC2539" w:rsidRDefault="000C5F70" w:rsidP="00E63050">
            <w:pPr>
              <w:rPr>
                <w:b/>
              </w:rPr>
            </w:pPr>
          </w:p>
        </w:tc>
        <w:tc>
          <w:tcPr>
            <w:tcW w:w="6328" w:type="dxa"/>
            <w:tcBorders>
              <w:top w:val="single" w:sz="4" w:space="0" w:color="auto"/>
              <w:left w:val="nil"/>
              <w:bottom w:val="nil"/>
              <w:right w:val="nil"/>
            </w:tcBorders>
          </w:tcPr>
          <w:p w14:paraId="7F36F5A3" w14:textId="77777777" w:rsidR="000C5F70" w:rsidRPr="00EC2539" w:rsidRDefault="000C5F70" w:rsidP="00E63050">
            <w:pPr>
              <w:rPr>
                <w:b/>
              </w:rPr>
            </w:pPr>
          </w:p>
        </w:tc>
      </w:tr>
      <w:tr w:rsidR="000C5F70" w14:paraId="03402FC0" w14:textId="77777777" w:rsidTr="00E63050">
        <w:tc>
          <w:tcPr>
            <w:tcW w:w="2312" w:type="dxa"/>
            <w:gridSpan w:val="2"/>
            <w:tcBorders>
              <w:top w:val="nil"/>
              <w:left w:val="nil"/>
              <w:bottom w:val="nil"/>
              <w:right w:val="nil"/>
            </w:tcBorders>
          </w:tcPr>
          <w:p w14:paraId="451EB9BA" w14:textId="77777777" w:rsidR="000C5F70" w:rsidRDefault="000C5F70" w:rsidP="00E63050">
            <w:pPr>
              <w:jc w:val="right"/>
            </w:pPr>
            <w:r>
              <w:t>Topic:</w:t>
            </w:r>
          </w:p>
        </w:tc>
        <w:tc>
          <w:tcPr>
            <w:tcW w:w="6328" w:type="dxa"/>
            <w:tcBorders>
              <w:top w:val="nil"/>
              <w:left w:val="nil"/>
              <w:bottom w:val="nil"/>
              <w:right w:val="nil"/>
            </w:tcBorders>
          </w:tcPr>
          <w:p w14:paraId="46C7DFB9" w14:textId="77777777" w:rsidR="000C5F70" w:rsidRDefault="000C5F70" w:rsidP="00E63050">
            <w:r>
              <w:t xml:space="preserve">Great People Decisions – An Introduction </w:t>
            </w:r>
          </w:p>
          <w:p w14:paraId="7CDE9D29" w14:textId="77777777" w:rsidR="000C5F70" w:rsidRDefault="000C5F70" w:rsidP="00E63050">
            <w:r>
              <w:t xml:space="preserve">Why Great People Decisions are So Hard? </w:t>
            </w:r>
          </w:p>
        </w:tc>
      </w:tr>
      <w:tr w:rsidR="000C5F70" w14:paraId="6BE20F71" w14:textId="77777777" w:rsidTr="00E63050">
        <w:tc>
          <w:tcPr>
            <w:tcW w:w="2312" w:type="dxa"/>
            <w:gridSpan w:val="2"/>
            <w:tcBorders>
              <w:top w:val="nil"/>
              <w:left w:val="nil"/>
              <w:bottom w:val="single" w:sz="4" w:space="0" w:color="auto"/>
              <w:right w:val="nil"/>
            </w:tcBorders>
          </w:tcPr>
          <w:p w14:paraId="507483FC"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20F82CF9" w14:textId="77777777" w:rsidR="000C5F70" w:rsidRDefault="000C5F70" w:rsidP="00E63050">
            <w:r>
              <w:t>N/A</w:t>
            </w:r>
          </w:p>
        </w:tc>
      </w:tr>
      <w:tr w:rsidR="000C5F70" w:rsidRPr="00EC2539" w14:paraId="4983F917" w14:textId="77777777" w:rsidTr="00E63050">
        <w:tc>
          <w:tcPr>
            <w:tcW w:w="1368" w:type="dxa"/>
            <w:tcBorders>
              <w:top w:val="single" w:sz="4" w:space="0" w:color="auto"/>
              <w:left w:val="nil"/>
              <w:bottom w:val="nil"/>
              <w:right w:val="nil"/>
            </w:tcBorders>
          </w:tcPr>
          <w:p w14:paraId="5A774AB9" w14:textId="77777777" w:rsidR="000C5F70" w:rsidRPr="00EC2539" w:rsidRDefault="000C5F70" w:rsidP="00E63050">
            <w:pPr>
              <w:rPr>
                <w:b/>
              </w:rPr>
            </w:pPr>
            <w:r w:rsidRPr="00EC2539">
              <w:rPr>
                <w:b/>
              </w:rPr>
              <w:t>Session 2:</w:t>
            </w:r>
          </w:p>
        </w:tc>
        <w:tc>
          <w:tcPr>
            <w:tcW w:w="944" w:type="dxa"/>
            <w:tcBorders>
              <w:top w:val="single" w:sz="4" w:space="0" w:color="auto"/>
              <w:left w:val="nil"/>
              <w:bottom w:val="nil"/>
              <w:right w:val="nil"/>
            </w:tcBorders>
          </w:tcPr>
          <w:p w14:paraId="2D7A91F8" w14:textId="77777777" w:rsidR="000C5F70" w:rsidRPr="00EC2539" w:rsidRDefault="000C5F70" w:rsidP="00E63050">
            <w:pPr>
              <w:rPr>
                <w:b/>
              </w:rPr>
            </w:pPr>
          </w:p>
        </w:tc>
        <w:tc>
          <w:tcPr>
            <w:tcW w:w="6328" w:type="dxa"/>
            <w:tcBorders>
              <w:top w:val="single" w:sz="4" w:space="0" w:color="auto"/>
              <w:left w:val="nil"/>
              <w:bottom w:val="nil"/>
              <w:right w:val="nil"/>
            </w:tcBorders>
          </w:tcPr>
          <w:p w14:paraId="523EAD1C" w14:textId="77777777" w:rsidR="000C5F70" w:rsidRPr="00EC2539" w:rsidRDefault="000C5F70" w:rsidP="00E63050">
            <w:pPr>
              <w:rPr>
                <w:b/>
              </w:rPr>
            </w:pPr>
          </w:p>
        </w:tc>
      </w:tr>
      <w:tr w:rsidR="000C5F70" w14:paraId="1067F20B" w14:textId="77777777" w:rsidTr="00E63050">
        <w:tc>
          <w:tcPr>
            <w:tcW w:w="2312" w:type="dxa"/>
            <w:gridSpan w:val="2"/>
            <w:tcBorders>
              <w:top w:val="nil"/>
              <w:left w:val="nil"/>
              <w:bottom w:val="nil"/>
              <w:right w:val="nil"/>
            </w:tcBorders>
          </w:tcPr>
          <w:p w14:paraId="66F7D31A" w14:textId="77777777" w:rsidR="000C5F70" w:rsidRDefault="000C5F70" w:rsidP="00E63050">
            <w:pPr>
              <w:jc w:val="right"/>
            </w:pPr>
            <w:r>
              <w:t>Topic:</w:t>
            </w:r>
          </w:p>
        </w:tc>
        <w:tc>
          <w:tcPr>
            <w:tcW w:w="6328" w:type="dxa"/>
            <w:tcBorders>
              <w:top w:val="nil"/>
              <w:left w:val="nil"/>
              <w:bottom w:val="nil"/>
              <w:right w:val="nil"/>
            </w:tcBorders>
          </w:tcPr>
          <w:p w14:paraId="4C6A6DED" w14:textId="77777777" w:rsidR="000C5F70" w:rsidRDefault="000C5F70" w:rsidP="00E63050">
            <w:r>
              <w:t xml:space="preserve">Knowing When a Change is Needed </w:t>
            </w:r>
          </w:p>
          <w:p w14:paraId="2A080300" w14:textId="5FCFB8BC" w:rsidR="000C5F70" w:rsidRDefault="000C5F70" w:rsidP="00E63050">
            <w:r>
              <w:t xml:space="preserve">What to look for and </w:t>
            </w:r>
            <w:r>
              <w:t>where</w:t>
            </w:r>
            <w:r>
              <w:t xml:space="preserve"> to look</w:t>
            </w:r>
          </w:p>
        </w:tc>
      </w:tr>
      <w:tr w:rsidR="000C5F70" w14:paraId="2656EB1F" w14:textId="77777777" w:rsidTr="00E63050">
        <w:tc>
          <w:tcPr>
            <w:tcW w:w="2312" w:type="dxa"/>
            <w:gridSpan w:val="2"/>
            <w:tcBorders>
              <w:top w:val="nil"/>
              <w:left w:val="nil"/>
              <w:bottom w:val="single" w:sz="4" w:space="0" w:color="auto"/>
              <w:right w:val="nil"/>
            </w:tcBorders>
          </w:tcPr>
          <w:p w14:paraId="7EBD37B4"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3C0EFEEF" w14:textId="77777777" w:rsidR="000C5F70" w:rsidRDefault="000C5F70" w:rsidP="00E63050">
            <w:r>
              <w:t>Pre-reading to be provided (max 50 pages)</w:t>
            </w:r>
          </w:p>
        </w:tc>
      </w:tr>
      <w:tr w:rsidR="000C5F70" w:rsidRPr="00EC2539" w14:paraId="57E7CE0D" w14:textId="77777777" w:rsidTr="00E63050">
        <w:tc>
          <w:tcPr>
            <w:tcW w:w="1368" w:type="dxa"/>
            <w:tcBorders>
              <w:top w:val="single" w:sz="4" w:space="0" w:color="auto"/>
              <w:left w:val="nil"/>
              <w:bottom w:val="nil"/>
              <w:right w:val="nil"/>
            </w:tcBorders>
          </w:tcPr>
          <w:p w14:paraId="6F86C4FF" w14:textId="77777777" w:rsidR="000C5F70" w:rsidRPr="00EC2539" w:rsidRDefault="000C5F70" w:rsidP="00E63050">
            <w:pPr>
              <w:rPr>
                <w:b/>
              </w:rPr>
            </w:pPr>
            <w:r w:rsidRPr="00EC2539">
              <w:rPr>
                <w:b/>
              </w:rPr>
              <w:t>Session 3:</w:t>
            </w:r>
          </w:p>
        </w:tc>
        <w:tc>
          <w:tcPr>
            <w:tcW w:w="944" w:type="dxa"/>
            <w:tcBorders>
              <w:top w:val="single" w:sz="4" w:space="0" w:color="auto"/>
              <w:left w:val="nil"/>
              <w:bottom w:val="nil"/>
              <w:right w:val="nil"/>
            </w:tcBorders>
          </w:tcPr>
          <w:p w14:paraId="20406872" w14:textId="77777777" w:rsidR="000C5F70" w:rsidRPr="00EC2539" w:rsidRDefault="000C5F70" w:rsidP="00E63050">
            <w:pPr>
              <w:rPr>
                <w:b/>
              </w:rPr>
            </w:pPr>
          </w:p>
        </w:tc>
        <w:tc>
          <w:tcPr>
            <w:tcW w:w="6328" w:type="dxa"/>
            <w:tcBorders>
              <w:top w:val="single" w:sz="4" w:space="0" w:color="auto"/>
              <w:left w:val="nil"/>
              <w:bottom w:val="nil"/>
              <w:right w:val="nil"/>
            </w:tcBorders>
          </w:tcPr>
          <w:p w14:paraId="61F38FFD" w14:textId="77777777" w:rsidR="000C5F70" w:rsidRPr="00EC2539" w:rsidRDefault="000C5F70" w:rsidP="00E63050">
            <w:pPr>
              <w:rPr>
                <w:b/>
              </w:rPr>
            </w:pPr>
          </w:p>
        </w:tc>
      </w:tr>
      <w:tr w:rsidR="000C5F70" w14:paraId="646D6547" w14:textId="77777777" w:rsidTr="00E63050">
        <w:tc>
          <w:tcPr>
            <w:tcW w:w="2312" w:type="dxa"/>
            <w:gridSpan w:val="2"/>
            <w:tcBorders>
              <w:top w:val="nil"/>
              <w:left w:val="nil"/>
              <w:bottom w:val="nil"/>
              <w:right w:val="nil"/>
            </w:tcBorders>
          </w:tcPr>
          <w:p w14:paraId="72D8AD33" w14:textId="77777777" w:rsidR="000C5F70" w:rsidRDefault="000C5F70" w:rsidP="00E63050">
            <w:pPr>
              <w:jc w:val="right"/>
            </w:pPr>
            <w:r>
              <w:t>Topic:</w:t>
            </w:r>
          </w:p>
        </w:tc>
        <w:tc>
          <w:tcPr>
            <w:tcW w:w="6328" w:type="dxa"/>
            <w:tcBorders>
              <w:top w:val="nil"/>
              <w:left w:val="nil"/>
              <w:bottom w:val="nil"/>
              <w:right w:val="nil"/>
            </w:tcBorders>
          </w:tcPr>
          <w:p w14:paraId="7D796D9E" w14:textId="77777777" w:rsidR="000C5F70" w:rsidRDefault="000C5F70" w:rsidP="00E63050">
            <w:r>
              <w:t xml:space="preserve">How to appraise people </w:t>
            </w:r>
          </w:p>
          <w:p w14:paraId="366F3C69" w14:textId="77777777" w:rsidR="000C5F70" w:rsidRDefault="000C5F70" w:rsidP="00E63050">
            <w:r>
              <w:t>How to attract and motivate best people</w:t>
            </w:r>
          </w:p>
        </w:tc>
      </w:tr>
      <w:tr w:rsidR="000C5F70" w14:paraId="64AECE71" w14:textId="77777777" w:rsidTr="00E63050">
        <w:tc>
          <w:tcPr>
            <w:tcW w:w="2312" w:type="dxa"/>
            <w:gridSpan w:val="2"/>
            <w:tcBorders>
              <w:top w:val="nil"/>
              <w:left w:val="nil"/>
              <w:bottom w:val="single" w:sz="4" w:space="0" w:color="auto"/>
              <w:right w:val="nil"/>
            </w:tcBorders>
          </w:tcPr>
          <w:p w14:paraId="53D34C87"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6C2BBAEC" w14:textId="77777777" w:rsidR="000C5F70" w:rsidRDefault="000C5F70" w:rsidP="00E63050">
            <w:r>
              <w:t>Pre-reading to be provided (max 50 pages)</w:t>
            </w:r>
          </w:p>
        </w:tc>
      </w:tr>
      <w:tr w:rsidR="000C5F70" w:rsidRPr="00EC2539" w14:paraId="18D7B3B2" w14:textId="77777777" w:rsidTr="00E63050">
        <w:tc>
          <w:tcPr>
            <w:tcW w:w="1368" w:type="dxa"/>
            <w:tcBorders>
              <w:top w:val="single" w:sz="4" w:space="0" w:color="auto"/>
              <w:left w:val="nil"/>
              <w:bottom w:val="nil"/>
              <w:right w:val="nil"/>
            </w:tcBorders>
          </w:tcPr>
          <w:p w14:paraId="2132B5AC" w14:textId="77777777" w:rsidR="000C5F70" w:rsidRPr="00EC2539" w:rsidRDefault="000C5F70" w:rsidP="00E63050">
            <w:pPr>
              <w:rPr>
                <w:b/>
              </w:rPr>
            </w:pPr>
            <w:r w:rsidRPr="00EC2539">
              <w:rPr>
                <w:b/>
              </w:rPr>
              <w:t>Session 4:</w:t>
            </w:r>
          </w:p>
        </w:tc>
        <w:tc>
          <w:tcPr>
            <w:tcW w:w="944" w:type="dxa"/>
            <w:tcBorders>
              <w:top w:val="single" w:sz="4" w:space="0" w:color="auto"/>
              <w:left w:val="nil"/>
              <w:bottom w:val="nil"/>
              <w:right w:val="nil"/>
            </w:tcBorders>
          </w:tcPr>
          <w:p w14:paraId="31703B30" w14:textId="77777777" w:rsidR="000C5F70" w:rsidRPr="00EC2539" w:rsidRDefault="000C5F70" w:rsidP="00E63050">
            <w:pPr>
              <w:rPr>
                <w:b/>
              </w:rPr>
            </w:pPr>
          </w:p>
        </w:tc>
        <w:tc>
          <w:tcPr>
            <w:tcW w:w="6328" w:type="dxa"/>
            <w:tcBorders>
              <w:top w:val="single" w:sz="4" w:space="0" w:color="auto"/>
              <w:left w:val="nil"/>
              <w:bottom w:val="nil"/>
              <w:right w:val="nil"/>
            </w:tcBorders>
          </w:tcPr>
          <w:p w14:paraId="399B60A7" w14:textId="77777777" w:rsidR="000C5F70" w:rsidRPr="00EC2539" w:rsidRDefault="000C5F70" w:rsidP="00E63050">
            <w:pPr>
              <w:rPr>
                <w:b/>
              </w:rPr>
            </w:pPr>
          </w:p>
        </w:tc>
      </w:tr>
      <w:tr w:rsidR="000C5F70" w14:paraId="6FF5FB77" w14:textId="77777777" w:rsidTr="00E63050">
        <w:tc>
          <w:tcPr>
            <w:tcW w:w="2312" w:type="dxa"/>
            <w:gridSpan w:val="2"/>
            <w:tcBorders>
              <w:top w:val="nil"/>
              <w:left w:val="nil"/>
              <w:bottom w:val="nil"/>
              <w:right w:val="nil"/>
            </w:tcBorders>
          </w:tcPr>
          <w:p w14:paraId="26158304" w14:textId="77777777" w:rsidR="000C5F70" w:rsidRDefault="000C5F70" w:rsidP="00E63050">
            <w:pPr>
              <w:jc w:val="right"/>
            </w:pPr>
            <w:r>
              <w:t>Topic:</w:t>
            </w:r>
          </w:p>
        </w:tc>
        <w:tc>
          <w:tcPr>
            <w:tcW w:w="6328" w:type="dxa"/>
            <w:tcBorders>
              <w:top w:val="nil"/>
              <w:left w:val="nil"/>
              <w:bottom w:val="nil"/>
              <w:right w:val="nil"/>
            </w:tcBorders>
          </w:tcPr>
          <w:p w14:paraId="224FF1A5" w14:textId="77777777" w:rsidR="000C5F70" w:rsidRDefault="000C5F70" w:rsidP="00E63050">
            <w:r>
              <w:t>Practical Real Life - Case Studies</w:t>
            </w:r>
          </w:p>
        </w:tc>
      </w:tr>
      <w:tr w:rsidR="000C5F70" w14:paraId="49FC1A87" w14:textId="77777777" w:rsidTr="00E63050">
        <w:tc>
          <w:tcPr>
            <w:tcW w:w="2312" w:type="dxa"/>
            <w:gridSpan w:val="2"/>
            <w:tcBorders>
              <w:top w:val="nil"/>
              <w:left w:val="nil"/>
              <w:bottom w:val="single" w:sz="4" w:space="0" w:color="auto"/>
              <w:right w:val="nil"/>
            </w:tcBorders>
          </w:tcPr>
          <w:p w14:paraId="4ABCEABB"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4C85F45B" w14:textId="77777777" w:rsidR="000C5F70" w:rsidRDefault="000C5F70" w:rsidP="00E63050">
            <w:r>
              <w:t>Pre-reading to be provided (max 50 pages)</w:t>
            </w:r>
          </w:p>
        </w:tc>
      </w:tr>
      <w:tr w:rsidR="000C5F70" w:rsidRPr="00EC2539" w14:paraId="64C0322E" w14:textId="77777777" w:rsidTr="00E63050">
        <w:tc>
          <w:tcPr>
            <w:tcW w:w="1368" w:type="dxa"/>
            <w:tcBorders>
              <w:top w:val="single" w:sz="4" w:space="0" w:color="auto"/>
              <w:left w:val="nil"/>
              <w:bottom w:val="nil"/>
              <w:right w:val="nil"/>
            </w:tcBorders>
          </w:tcPr>
          <w:p w14:paraId="67929438" w14:textId="77777777" w:rsidR="000C5F70" w:rsidRPr="00EC2539" w:rsidRDefault="000C5F70" w:rsidP="00E63050">
            <w:pPr>
              <w:rPr>
                <w:b/>
              </w:rPr>
            </w:pPr>
            <w:r w:rsidRPr="00EC2539">
              <w:rPr>
                <w:b/>
              </w:rPr>
              <w:t>Session 5:</w:t>
            </w:r>
          </w:p>
        </w:tc>
        <w:tc>
          <w:tcPr>
            <w:tcW w:w="944" w:type="dxa"/>
            <w:tcBorders>
              <w:top w:val="single" w:sz="4" w:space="0" w:color="auto"/>
              <w:left w:val="nil"/>
              <w:bottom w:val="nil"/>
              <w:right w:val="nil"/>
            </w:tcBorders>
          </w:tcPr>
          <w:p w14:paraId="7D4D06C0" w14:textId="77777777" w:rsidR="000C5F70" w:rsidRPr="00EC2539" w:rsidRDefault="000C5F70" w:rsidP="00E63050">
            <w:pPr>
              <w:rPr>
                <w:b/>
              </w:rPr>
            </w:pPr>
          </w:p>
        </w:tc>
        <w:tc>
          <w:tcPr>
            <w:tcW w:w="6328" w:type="dxa"/>
            <w:tcBorders>
              <w:top w:val="single" w:sz="4" w:space="0" w:color="auto"/>
              <w:left w:val="nil"/>
              <w:bottom w:val="nil"/>
              <w:right w:val="nil"/>
            </w:tcBorders>
          </w:tcPr>
          <w:p w14:paraId="0F08EEDC" w14:textId="77777777" w:rsidR="000C5F70" w:rsidRPr="00EC2539" w:rsidRDefault="000C5F70" w:rsidP="00E63050">
            <w:pPr>
              <w:rPr>
                <w:b/>
              </w:rPr>
            </w:pPr>
          </w:p>
        </w:tc>
      </w:tr>
      <w:tr w:rsidR="000C5F70" w14:paraId="19DDC004" w14:textId="77777777" w:rsidTr="00E63050">
        <w:tc>
          <w:tcPr>
            <w:tcW w:w="2312" w:type="dxa"/>
            <w:gridSpan w:val="2"/>
            <w:tcBorders>
              <w:top w:val="nil"/>
              <w:left w:val="nil"/>
              <w:bottom w:val="nil"/>
              <w:right w:val="nil"/>
            </w:tcBorders>
          </w:tcPr>
          <w:p w14:paraId="3C51FAC2" w14:textId="77777777" w:rsidR="000C5F70" w:rsidRDefault="000C5F70" w:rsidP="00E63050">
            <w:pPr>
              <w:jc w:val="right"/>
            </w:pPr>
            <w:r>
              <w:t>Topic:</w:t>
            </w:r>
          </w:p>
        </w:tc>
        <w:tc>
          <w:tcPr>
            <w:tcW w:w="6328" w:type="dxa"/>
            <w:tcBorders>
              <w:top w:val="nil"/>
              <w:left w:val="nil"/>
              <w:bottom w:val="nil"/>
              <w:right w:val="nil"/>
            </w:tcBorders>
          </w:tcPr>
          <w:p w14:paraId="300DBB78" w14:textId="77777777" w:rsidR="000C5F70" w:rsidRDefault="000C5F70" w:rsidP="00E63050">
            <w:r>
              <w:t>Project Presentations</w:t>
            </w:r>
          </w:p>
        </w:tc>
      </w:tr>
      <w:tr w:rsidR="000C5F70" w14:paraId="71DF4DF4" w14:textId="77777777" w:rsidTr="00E63050">
        <w:tc>
          <w:tcPr>
            <w:tcW w:w="2312" w:type="dxa"/>
            <w:gridSpan w:val="2"/>
            <w:tcBorders>
              <w:top w:val="nil"/>
              <w:left w:val="nil"/>
              <w:bottom w:val="single" w:sz="4" w:space="0" w:color="auto"/>
              <w:right w:val="nil"/>
            </w:tcBorders>
          </w:tcPr>
          <w:p w14:paraId="6B1C0FA0"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2E90537A" w14:textId="77777777" w:rsidR="000C5F70" w:rsidRDefault="000C5F70" w:rsidP="00E63050"/>
        </w:tc>
      </w:tr>
      <w:tr w:rsidR="000C5F70" w:rsidRPr="00EC2539" w14:paraId="04713392" w14:textId="77777777" w:rsidTr="00E63050">
        <w:tc>
          <w:tcPr>
            <w:tcW w:w="1368" w:type="dxa"/>
            <w:tcBorders>
              <w:top w:val="single" w:sz="4" w:space="0" w:color="auto"/>
              <w:left w:val="nil"/>
              <w:bottom w:val="nil"/>
              <w:right w:val="nil"/>
            </w:tcBorders>
          </w:tcPr>
          <w:p w14:paraId="1EBE734B" w14:textId="77777777" w:rsidR="000C5F70" w:rsidRPr="00EC2539" w:rsidRDefault="000C5F70" w:rsidP="00E63050">
            <w:pPr>
              <w:rPr>
                <w:b/>
              </w:rPr>
            </w:pPr>
            <w:r w:rsidRPr="00EC2539">
              <w:rPr>
                <w:b/>
              </w:rPr>
              <w:t>Session 6:</w:t>
            </w:r>
          </w:p>
        </w:tc>
        <w:tc>
          <w:tcPr>
            <w:tcW w:w="944" w:type="dxa"/>
            <w:tcBorders>
              <w:top w:val="single" w:sz="4" w:space="0" w:color="auto"/>
              <w:left w:val="nil"/>
              <w:bottom w:val="nil"/>
              <w:right w:val="nil"/>
            </w:tcBorders>
          </w:tcPr>
          <w:p w14:paraId="0B59BC39" w14:textId="77777777" w:rsidR="000C5F70" w:rsidRPr="00EC2539" w:rsidRDefault="000C5F70" w:rsidP="00E63050">
            <w:pPr>
              <w:rPr>
                <w:b/>
              </w:rPr>
            </w:pPr>
          </w:p>
        </w:tc>
        <w:tc>
          <w:tcPr>
            <w:tcW w:w="6328" w:type="dxa"/>
            <w:tcBorders>
              <w:top w:val="single" w:sz="4" w:space="0" w:color="auto"/>
              <w:left w:val="nil"/>
              <w:bottom w:val="nil"/>
              <w:right w:val="nil"/>
            </w:tcBorders>
          </w:tcPr>
          <w:p w14:paraId="0C967E1F" w14:textId="77777777" w:rsidR="000C5F70" w:rsidRPr="00EC2539" w:rsidRDefault="000C5F70" w:rsidP="00E63050">
            <w:pPr>
              <w:rPr>
                <w:b/>
              </w:rPr>
            </w:pPr>
          </w:p>
        </w:tc>
      </w:tr>
      <w:tr w:rsidR="000C5F70" w14:paraId="130C95AA" w14:textId="77777777" w:rsidTr="00E63050">
        <w:tc>
          <w:tcPr>
            <w:tcW w:w="2312" w:type="dxa"/>
            <w:gridSpan w:val="2"/>
            <w:tcBorders>
              <w:top w:val="nil"/>
              <w:left w:val="nil"/>
              <w:bottom w:val="nil"/>
              <w:right w:val="nil"/>
            </w:tcBorders>
          </w:tcPr>
          <w:p w14:paraId="05D42662" w14:textId="77777777" w:rsidR="000C5F70" w:rsidRDefault="000C5F70" w:rsidP="00E63050">
            <w:pPr>
              <w:jc w:val="right"/>
            </w:pPr>
            <w:r>
              <w:t>Topic:</w:t>
            </w:r>
          </w:p>
        </w:tc>
        <w:tc>
          <w:tcPr>
            <w:tcW w:w="6328" w:type="dxa"/>
            <w:tcBorders>
              <w:top w:val="nil"/>
              <w:left w:val="nil"/>
              <w:bottom w:val="nil"/>
              <w:right w:val="nil"/>
            </w:tcBorders>
          </w:tcPr>
          <w:p w14:paraId="36D135E0" w14:textId="77777777" w:rsidR="000C5F70" w:rsidRDefault="000C5F70" w:rsidP="00E63050">
            <w:r>
              <w:t>Project Presentations</w:t>
            </w:r>
          </w:p>
        </w:tc>
      </w:tr>
      <w:tr w:rsidR="000C5F70" w14:paraId="409243A4" w14:textId="77777777" w:rsidTr="00E63050">
        <w:tc>
          <w:tcPr>
            <w:tcW w:w="2312" w:type="dxa"/>
            <w:gridSpan w:val="2"/>
            <w:tcBorders>
              <w:top w:val="nil"/>
              <w:left w:val="nil"/>
              <w:bottom w:val="single" w:sz="4" w:space="0" w:color="auto"/>
              <w:right w:val="nil"/>
            </w:tcBorders>
          </w:tcPr>
          <w:p w14:paraId="64D65294" w14:textId="77777777" w:rsidR="000C5F70" w:rsidRDefault="000C5F70" w:rsidP="00E63050">
            <w:pPr>
              <w:jc w:val="right"/>
            </w:pPr>
            <w:r>
              <w:t>Requirements:</w:t>
            </w:r>
          </w:p>
        </w:tc>
        <w:tc>
          <w:tcPr>
            <w:tcW w:w="6328" w:type="dxa"/>
            <w:tcBorders>
              <w:top w:val="nil"/>
              <w:left w:val="nil"/>
              <w:bottom w:val="single" w:sz="4" w:space="0" w:color="auto"/>
              <w:right w:val="nil"/>
            </w:tcBorders>
          </w:tcPr>
          <w:p w14:paraId="0D2ADDF9" w14:textId="77777777" w:rsidR="000C5F70" w:rsidRDefault="000C5F70" w:rsidP="00E63050"/>
        </w:tc>
      </w:tr>
    </w:tbl>
    <w:p w14:paraId="4639CE88" w14:textId="77777777" w:rsidR="000C5F70" w:rsidRPr="00C30228" w:rsidRDefault="000C5F70" w:rsidP="000C5F70"/>
    <w:p w14:paraId="5D0B63E3" w14:textId="77777777" w:rsidR="00495769" w:rsidRDefault="00495769" w:rsidP="000C5F70"/>
    <w:sectPr w:rsidR="00495769"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717" w14:textId="77777777" w:rsidR="00E81BA0" w:rsidRDefault="00E81BA0">
      <w:r>
        <w:separator/>
      </w:r>
    </w:p>
  </w:endnote>
  <w:endnote w:type="continuationSeparator" w:id="0">
    <w:p w14:paraId="06A5C11F" w14:textId="77777777" w:rsidR="00E81BA0" w:rsidRDefault="00E8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0409"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079FB44D"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1A7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75AAECB9"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65F"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r w:rsidR="00E81BA0">
      <w:fldChar w:fldCharType="begin"/>
    </w:r>
    <w:r w:rsidR="00E81BA0">
      <w:instrText xml:space="preserve"> NUMPAGES  </w:instrText>
    </w:r>
    <w:r w:rsidR="00E81BA0">
      <w:fldChar w:fldCharType="separate"/>
    </w:r>
    <w:r w:rsidR="00E457CD">
      <w:rPr>
        <w:noProof/>
      </w:rPr>
      <w:t>6</w:t>
    </w:r>
    <w:r w:rsidR="00E81BA0">
      <w:rPr>
        <w:noProof/>
      </w:rPr>
      <w:fldChar w:fldCharType="end"/>
    </w:r>
  </w:p>
  <w:p w14:paraId="30F906D2"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670B" w14:textId="77777777" w:rsidR="00E81BA0" w:rsidRDefault="00E81BA0">
      <w:r>
        <w:separator/>
      </w:r>
    </w:p>
  </w:footnote>
  <w:footnote w:type="continuationSeparator" w:id="0">
    <w:p w14:paraId="66B1BDDF" w14:textId="77777777" w:rsidR="00E81BA0" w:rsidRDefault="00E8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10D5" w14:textId="77777777"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07048886" wp14:editId="53F6401D">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290684A9" wp14:editId="7A1BFEFD">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2A677813"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89A"/>
    <w:rsid w:val="0005013F"/>
    <w:rsid w:val="000579F1"/>
    <w:rsid w:val="0006179D"/>
    <w:rsid w:val="00062D6C"/>
    <w:rsid w:val="00072A7D"/>
    <w:rsid w:val="000908F4"/>
    <w:rsid w:val="00091A49"/>
    <w:rsid w:val="000925F2"/>
    <w:rsid w:val="000939E2"/>
    <w:rsid w:val="0009424F"/>
    <w:rsid w:val="00094B14"/>
    <w:rsid w:val="000A1EC8"/>
    <w:rsid w:val="000B40BD"/>
    <w:rsid w:val="000C5F70"/>
    <w:rsid w:val="000C74D8"/>
    <w:rsid w:val="000D51E3"/>
    <w:rsid w:val="000D5CB0"/>
    <w:rsid w:val="000D79EF"/>
    <w:rsid w:val="000D7D8A"/>
    <w:rsid w:val="000E72FE"/>
    <w:rsid w:val="001076ED"/>
    <w:rsid w:val="0011502F"/>
    <w:rsid w:val="00122081"/>
    <w:rsid w:val="0013032E"/>
    <w:rsid w:val="0013070B"/>
    <w:rsid w:val="001434A9"/>
    <w:rsid w:val="0014634E"/>
    <w:rsid w:val="001551F3"/>
    <w:rsid w:val="00155724"/>
    <w:rsid w:val="001574CF"/>
    <w:rsid w:val="00161D3F"/>
    <w:rsid w:val="001631E6"/>
    <w:rsid w:val="00177B70"/>
    <w:rsid w:val="0018309A"/>
    <w:rsid w:val="00190247"/>
    <w:rsid w:val="001A20B3"/>
    <w:rsid w:val="001B5B59"/>
    <w:rsid w:val="001C1B99"/>
    <w:rsid w:val="001E2F03"/>
    <w:rsid w:val="001F79C1"/>
    <w:rsid w:val="00250D28"/>
    <w:rsid w:val="0025355C"/>
    <w:rsid w:val="0025359C"/>
    <w:rsid w:val="0025798F"/>
    <w:rsid w:val="0026667E"/>
    <w:rsid w:val="002716AD"/>
    <w:rsid w:val="00274040"/>
    <w:rsid w:val="00280DC9"/>
    <w:rsid w:val="00283D27"/>
    <w:rsid w:val="00291216"/>
    <w:rsid w:val="002A5EBA"/>
    <w:rsid w:val="002A7678"/>
    <w:rsid w:val="002B76EE"/>
    <w:rsid w:val="002C7102"/>
    <w:rsid w:val="002F55F1"/>
    <w:rsid w:val="00310436"/>
    <w:rsid w:val="0032608D"/>
    <w:rsid w:val="00326AFF"/>
    <w:rsid w:val="003365CC"/>
    <w:rsid w:val="00340606"/>
    <w:rsid w:val="0034797F"/>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033C"/>
    <w:rsid w:val="00456131"/>
    <w:rsid w:val="00467DD9"/>
    <w:rsid w:val="00471CC0"/>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BA6"/>
    <w:rsid w:val="00586440"/>
    <w:rsid w:val="00593532"/>
    <w:rsid w:val="005B297A"/>
    <w:rsid w:val="005B38E2"/>
    <w:rsid w:val="005C74E5"/>
    <w:rsid w:val="005C7B30"/>
    <w:rsid w:val="005E77B7"/>
    <w:rsid w:val="00601FA4"/>
    <w:rsid w:val="0060204D"/>
    <w:rsid w:val="006028B4"/>
    <w:rsid w:val="00611D82"/>
    <w:rsid w:val="00633B36"/>
    <w:rsid w:val="00637497"/>
    <w:rsid w:val="00647EA7"/>
    <w:rsid w:val="00662048"/>
    <w:rsid w:val="00674A2A"/>
    <w:rsid w:val="00692806"/>
    <w:rsid w:val="006935E9"/>
    <w:rsid w:val="006B67B0"/>
    <w:rsid w:val="006B6DE9"/>
    <w:rsid w:val="006C1B93"/>
    <w:rsid w:val="006D7CB0"/>
    <w:rsid w:val="006E136F"/>
    <w:rsid w:val="006F006E"/>
    <w:rsid w:val="006F1446"/>
    <w:rsid w:val="006F14F1"/>
    <w:rsid w:val="006F65CA"/>
    <w:rsid w:val="00706F77"/>
    <w:rsid w:val="007269E8"/>
    <w:rsid w:val="00731BE9"/>
    <w:rsid w:val="00737DD9"/>
    <w:rsid w:val="007900B5"/>
    <w:rsid w:val="0079202D"/>
    <w:rsid w:val="007953DD"/>
    <w:rsid w:val="00797688"/>
    <w:rsid w:val="007A50B7"/>
    <w:rsid w:val="007B0497"/>
    <w:rsid w:val="007C29D1"/>
    <w:rsid w:val="007D11EF"/>
    <w:rsid w:val="007D42AA"/>
    <w:rsid w:val="007D5880"/>
    <w:rsid w:val="007E3520"/>
    <w:rsid w:val="007E49C8"/>
    <w:rsid w:val="007F730E"/>
    <w:rsid w:val="00804D47"/>
    <w:rsid w:val="00821B59"/>
    <w:rsid w:val="0082779A"/>
    <w:rsid w:val="008366A5"/>
    <w:rsid w:val="008412B9"/>
    <w:rsid w:val="00845D80"/>
    <w:rsid w:val="0085221D"/>
    <w:rsid w:val="008561F6"/>
    <w:rsid w:val="00886B1D"/>
    <w:rsid w:val="008B1598"/>
    <w:rsid w:val="008B6E46"/>
    <w:rsid w:val="008C2E3A"/>
    <w:rsid w:val="008C3C95"/>
    <w:rsid w:val="008D0174"/>
    <w:rsid w:val="008D104F"/>
    <w:rsid w:val="008D5CBF"/>
    <w:rsid w:val="008F45ED"/>
    <w:rsid w:val="008F4A4A"/>
    <w:rsid w:val="00900702"/>
    <w:rsid w:val="009114AC"/>
    <w:rsid w:val="00912482"/>
    <w:rsid w:val="00913FCE"/>
    <w:rsid w:val="00915739"/>
    <w:rsid w:val="009173B8"/>
    <w:rsid w:val="009249B8"/>
    <w:rsid w:val="009261C5"/>
    <w:rsid w:val="0093604D"/>
    <w:rsid w:val="00940C5B"/>
    <w:rsid w:val="00945A23"/>
    <w:rsid w:val="0095346F"/>
    <w:rsid w:val="00956648"/>
    <w:rsid w:val="009618D3"/>
    <w:rsid w:val="00963AF0"/>
    <w:rsid w:val="00970921"/>
    <w:rsid w:val="00971F8B"/>
    <w:rsid w:val="009756A8"/>
    <w:rsid w:val="009940A6"/>
    <w:rsid w:val="009B13E8"/>
    <w:rsid w:val="009C1517"/>
    <w:rsid w:val="009C5350"/>
    <w:rsid w:val="009D11EB"/>
    <w:rsid w:val="009E4E80"/>
    <w:rsid w:val="009F6410"/>
    <w:rsid w:val="00A12930"/>
    <w:rsid w:val="00A17C0F"/>
    <w:rsid w:val="00A20690"/>
    <w:rsid w:val="00A23423"/>
    <w:rsid w:val="00A265F7"/>
    <w:rsid w:val="00A41E00"/>
    <w:rsid w:val="00A60FF8"/>
    <w:rsid w:val="00A6279A"/>
    <w:rsid w:val="00A639AB"/>
    <w:rsid w:val="00A66734"/>
    <w:rsid w:val="00A67EA6"/>
    <w:rsid w:val="00AA0EB9"/>
    <w:rsid w:val="00AA5206"/>
    <w:rsid w:val="00AA6935"/>
    <w:rsid w:val="00AD3A2E"/>
    <w:rsid w:val="00AD5D30"/>
    <w:rsid w:val="00AD6F3C"/>
    <w:rsid w:val="00AF5FBF"/>
    <w:rsid w:val="00B23D3E"/>
    <w:rsid w:val="00B23F97"/>
    <w:rsid w:val="00B4683D"/>
    <w:rsid w:val="00B51015"/>
    <w:rsid w:val="00B51E2D"/>
    <w:rsid w:val="00B8105E"/>
    <w:rsid w:val="00B95409"/>
    <w:rsid w:val="00B95774"/>
    <w:rsid w:val="00B97540"/>
    <w:rsid w:val="00BC57E4"/>
    <w:rsid w:val="00BD4BF6"/>
    <w:rsid w:val="00BD6E37"/>
    <w:rsid w:val="00BE5777"/>
    <w:rsid w:val="00BF259A"/>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DF3931"/>
    <w:rsid w:val="00E2250D"/>
    <w:rsid w:val="00E30603"/>
    <w:rsid w:val="00E319B7"/>
    <w:rsid w:val="00E44163"/>
    <w:rsid w:val="00E457CD"/>
    <w:rsid w:val="00E47181"/>
    <w:rsid w:val="00E476C3"/>
    <w:rsid w:val="00E52AD3"/>
    <w:rsid w:val="00E547C1"/>
    <w:rsid w:val="00E578E8"/>
    <w:rsid w:val="00E61D70"/>
    <w:rsid w:val="00E769E3"/>
    <w:rsid w:val="00E81BA0"/>
    <w:rsid w:val="00E860EA"/>
    <w:rsid w:val="00E868E3"/>
    <w:rsid w:val="00E90275"/>
    <w:rsid w:val="00EA16AC"/>
    <w:rsid w:val="00EB0E43"/>
    <w:rsid w:val="00EC1566"/>
    <w:rsid w:val="00EC1F14"/>
    <w:rsid w:val="00EF2D84"/>
    <w:rsid w:val="00F03A8D"/>
    <w:rsid w:val="00F106EC"/>
    <w:rsid w:val="00F1438C"/>
    <w:rsid w:val="00F30C34"/>
    <w:rsid w:val="00F4294B"/>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4E907"/>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A17C-8E64-47F9-9383-8C150259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5201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Murat Yesildere</cp:lastModifiedBy>
  <cp:revision>6</cp:revision>
  <cp:lastPrinted>2006-01-02T08:18:00Z</cp:lastPrinted>
  <dcterms:created xsi:type="dcterms:W3CDTF">2022-01-27T08:19:00Z</dcterms:created>
  <dcterms:modified xsi:type="dcterms:W3CDTF">2022-01-27T12:42:00Z</dcterms:modified>
</cp:coreProperties>
</file>